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96177F" w:rsidP="001D6862">
      <w:pPr>
        <w:spacing w:before="0" w:after="0" w:line="19" w:lineRule="atLeast"/>
        <w:jc w:val="center"/>
        <w:rPr>
          <w:rFonts w:ascii="Tahoma" w:hAnsi="Tahoma" w:cs="Tahoma"/>
          <w:b/>
        </w:rPr>
      </w:pPr>
      <w:bookmarkStart w:id="0" w:name="_GoBack"/>
      <w:bookmarkEnd w:id="0"/>
      <w:r>
        <w:rPr>
          <w:rFonts w:ascii="Tahoma" w:hAnsi="Tahoma" w:cs="Tahoma"/>
          <w:b/>
        </w:rPr>
        <w:t xml:space="preserve"> </w:t>
      </w:r>
      <w:r w:rsidR="00524E1D" w:rsidRPr="00EA2D8B">
        <w:rPr>
          <w:rFonts w:ascii="Tahoma" w:hAnsi="Tahoma" w:cs="Tahoma"/>
          <w:b/>
        </w:rPr>
        <w:t>INFORME FISCAL Y FINANCIERO</w:t>
      </w:r>
    </w:p>
    <w:p w:rsidR="008369B2"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617A69">
        <w:rPr>
          <w:rFonts w:ascii="Tahoma" w:hAnsi="Tahoma" w:cs="Tahoma"/>
          <w:b/>
        </w:rPr>
        <w:t>LIBANO</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00ED1B75">
        <w:rPr>
          <w:rFonts w:ascii="Tahoma" w:hAnsi="Tahoma" w:cs="Tahoma"/>
          <w:b w:val="0"/>
          <w:sz w:val="22"/>
          <w:szCs w:val="22"/>
        </w:rPr>
        <w:t>.</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617A69">
        <w:rPr>
          <w:rFonts w:ascii="Tahoma" w:hAnsi="Tahoma" w:cs="Tahoma"/>
          <w:color w:val="auto"/>
        </w:rPr>
        <w:t>Líbano</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Pr="00A6547B">
        <w:rPr>
          <w:rFonts w:ascii="Tahoma" w:hAnsi="Tahoma" w:cs="Tahoma"/>
          <w:color w:val="auto"/>
        </w:rPr>
        <w:t>.</w:t>
      </w:r>
      <w:r w:rsidR="00AD0C4B" w:rsidRPr="00A6547B">
        <w:rPr>
          <w:rFonts w:ascii="Tahoma" w:hAnsi="Tahoma" w:cs="Tahoma"/>
          <w:color w:val="auto"/>
        </w:rPr>
        <w:t xml:space="preserve"> </w:t>
      </w:r>
      <w:r w:rsidR="00C04E27" w:rsidRPr="00C04E27">
        <w:rPr>
          <w:rFonts w:ascii="Tahoma" w:hAnsi="Tahoma" w:cs="Tahoma"/>
          <w:b/>
          <w:color w:val="auto"/>
        </w:rPr>
        <w:t>30</w:t>
      </w:r>
      <w:r w:rsidR="007F40C8" w:rsidRPr="00C04E27">
        <w:rPr>
          <w:rFonts w:ascii="Tahoma" w:hAnsi="Tahoma" w:cs="Tahoma"/>
          <w:b/>
          <w:color w:val="auto"/>
        </w:rPr>
        <w:t xml:space="preserve"> </w:t>
      </w:r>
      <w:r w:rsidRPr="00A6547B">
        <w:rPr>
          <w:rFonts w:ascii="Tahoma" w:hAnsi="Tahoma" w:cs="Tahoma"/>
          <w:b/>
          <w:color w:val="auto"/>
        </w:rPr>
        <w:t>de</w:t>
      </w:r>
      <w:r w:rsidR="007F40C8" w:rsidRPr="00A6547B">
        <w:rPr>
          <w:rFonts w:ascii="Tahoma" w:hAnsi="Tahoma" w:cs="Tahoma"/>
          <w:b/>
          <w:color w:val="auto"/>
        </w:rPr>
        <w:t xml:space="preserve">l </w:t>
      </w:r>
      <w:r w:rsidR="00C04E27">
        <w:rPr>
          <w:rFonts w:ascii="Tahoma" w:hAnsi="Tahoma" w:cs="Tahoma"/>
          <w:b/>
          <w:color w:val="auto"/>
        </w:rPr>
        <w:t>10</w:t>
      </w:r>
      <w:r w:rsidR="0010060F">
        <w:rPr>
          <w:rFonts w:ascii="Tahoma" w:hAnsi="Tahoma" w:cs="Tahoma"/>
          <w:b/>
          <w:color w:val="auto"/>
        </w:rPr>
        <w:t xml:space="preserve"> </w:t>
      </w:r>
      <w:r w:rsidR="007F40C8" w:rsidRPr="00A6547B">
        <w:rPr>
          <w:rFonts w:ascii="Tahoma" w:hAnsi="Tahoma" w:cs="Tahoma"/>
          <w:b/>
          <w:color w:val="auto"/>
        </w:rPr>
        <w:t>de</w:t>
      </w:r>
      <w:r w:rsidR="006D7C83" w:rsidRPr="00A6547B">
        <w:rPr>
          <w:rFonts w:ascii="Tahoma" w:hAnsi="Tahoma" w:cs="Tahoma"/>
          <w:b/>
          <w:color w:val="auto"/>
        </w:rPr>
        <w:t xml:space="preserve"> </w:t>
      </w:r>
      <w:r w:rsidR="00C04E27">
        <w:rPr>
          <w:rFonts w:ascii="Tahoma" w:hAnsi="Tahoma" w:cs="Tahoma"/>
          <w:b/>
          <w:color w:val="auto"/>
        </w:rPr>
        <w:t>Diciem</w:t>
      </w:r>
      <w:r w:rsidR="00302682" w:rsidRPr="00A6547B">
        <w:rPr>
          <w:rFonts w:ascii="Tahoma" w:hAnsi="Tahoma" w:cs="Tahoma"/>
          <w:b/>
          <w:color w:val="auto"/>
        </w:rPr>
        <w:t xml:space="preserve">bre </w:t>
      </w:r>
      <w:r w:rsidR="007F40C8" w:rsidRPr="00A6547B">
        <w:rPr>
          <w:rFonts w:ascii="Tahoma" w:hAnsi="Tahoma" w:cs="Tahoma"/>
          <w:b/>
          <w:color w:val="auto"/>
        </w:rPr>
        <w:t>de</w:t>
      </w:r>
      <w:r w:rsidR="006D7C83" w:rsidRPr="00A6547B">
        <w:rPr>
          <w:rFonts w:ascii="Tahoma" w:hAnsi="Tahoma" w:cs="Tahoma"/>
          <w:b/>
          <w:color w:val="auto"/>
        </w:rPr>
        <w:t xml:space="preserve"> 201</w:t>
      </w:r>
      <w:r w:rsidR="00AD0C4B" w:rsidRPr="00A6547B">
        <w:rPr>
          <w:rFonts w:ascii="Tahoma" w:hAnsi="Tahoma" w:cs="Tahoma"/>
          <w:b/>
          <w:color w:val="auto"/>
        </w:rPr>
        <w:t>4</w:t>
      </w:r>
      <w:r w:rsidR="00A6547B" w:rsidRPr="00A6547B">
        <w:rPr>
          <w:rFonts w:ascii="Tahoma" w:hAnsi="Tahoma" w:cs="Tahoma"/>
          <w:b/>
          <w:color w:val="auto"/>
        </w:rPr>
        <w:t xml:space="preserve"> y LIQUIDADO MEDIANTE Decreto 1</w:t>
      </w:r>
      <w:r w:rsidR="00C04E27">
        <w:rPr>
          <w:rFonts w:ascii="Tahoma" w:hAnsi="Tahoma" w:cs="Tahoma"/>
          <w:b/>
          <w:color w:val="auto"/>
        </w:rPr>
        <w:t>12</w:t>
      </w:r>
      <w:r w:rsidR="00A6547B" w:rsidRPr="00A6547B">
        <w:rPr>
          <w:rFonts w:ascii="Tahoma" w:hAnsi="Tahoma" w:cs="Tahoma"/>
          <w:b/>
          <w:color w:val="auto"/>
        </w:rPr>
        <w:t xml:space="preserve"> de</w:t>
      </w:r>
      <w:r w:rsidR="00C04E27">
        <w:rPr>
          <w:rFonts w:ascii="Tahoma" w:hAnsi="Tahoma" w:cs="Tahoma"/>
          <w:b/>
          <w:color w:val="auto"/>
        </w:rPr>
        <w:t xml:space="preserve"> </w:t>
      </w:r>
      <w:r w:rsidR="00A6547B" w:rsidRPr="00A6547B">
        <w:rPr>
          <w:rFonts w:ascii="Tahoma" w:hAnsi="Tahoma" w:cs="Tahoma"/>
          <w:b/>
          <w:color w:val="auto"/>
        </w:rPr>
        <w:t xml:space="preserve">Diciembre </w:t>
      </w:r>
      <w:r w:rsidR="00C04E27">
        <w:rPr>
          <w:rFonts w:ascii="Tahoma" w:hAnsi="Tahoma" w:cs="Tahoma"/>
          <w:b/>
          <w:color w:val="auto"/>
        </w:rPr>
        <w:t>30</w:t>
      </w:r>
      <w:r w:rsidR="00A6547B" w:rsidRPr="00A6547B">
        <w:rPr>
          <w:rFonts w:ascii="Tahoma" w:hAnsi="Tahoma" w:cs="Tahoma"/>
          <w:b/>
          <w:color w:val="auto"/>
        </w:rPr>
        <w:t xml:space="preserve"> de 2014</w:t>
      </w:r>
      <w:r w:rsidR="00EC36EF" w:rsidRPr="00A6547B">
        <w:rPr>
          <w:rFonts w:ascii="Tahoma" w:hAnsi="Tahoma" w:cs="Tahoma"/>
          <w:color w:val="auto"/>
        </w:rPr>
        <w:t xml:space="preserve">, </w:t>
      </w:r>
      <w:r w:rsidR="006A0F41" w:rsidRPr="00A6547B">
        <w:rPr>
          <w:rFonts w:ascii="Tahoma" w:hAnsi="Tahoma" w:cs="Tahoma"/>
          <w:color w:val="auto"/>
        </w:rPr>
        <w:t>en la suma de</w:t>
      </w:r>
      <w:r w:rsidR="006A0F41" w:rsidRPr="00A6547B">
        <w:rPr>
          <w:rFonts w:ascii="Tahoma" w:hAnsi="Tahoma" w:cs="Tahoma"/>
          <w:b/>
          <w:color w:val="auto"/>
        </w:rPr>
        <w:t xml:space="preserve">  </w:t>
      </w:r>
      <w:r w:rsidR="00B262CD">
        <w:rPr>
          <w:rFonts w:ascii="Tahoma" w:hAnsi="Tahoma" w:cs="Tahoma"/>
          <w:b/>
          <w:color w:val="auto"/>
        </w:rPr>
        <w:t>VEINTI</w:t>
      </w:r>
      <w:r w:rsidR="00C04E27">
        <w:rPr>
          <w:rFonts w:ascii="Tahoma" w:hAnsi="Tahoma" w:cs="Tahoma"/>
          <w:b/>
          <w:color w:val="auto"/>
        </w:rPr>
        <w:t>SEIS</w:t>
      </w:r>
      <w:r w:rsidR="00B262CD">
        <w:rPr>
          <w:rFonts w:ascii="Tahoma" w:hAnsi="Tahoma" w:cs="Tahoma"/>
          <w:b/>
          <w:color w:val="auto"/>
        </w:rPr>
        <w:t xml:space="preserve"> MIL </w:t>
      </w:r>
      <w:r w:rsidR="00C04E27">
        <w:rPr>
          <w:rFonts w:ascii="Tahoma" w:hAnsi="Tahoma" w:cs="Tahoma"/>
          <w:b/>
          <w:color w:val="auto"/>
        </w:rPr>
        <w:t>OCHOCIENTOS CINCO</w:t>
      </w:r>
      <w:r w:rsidR="00B262CD">
        <w:rPr>
          <w:rFonts w:ascii="Tahoma" w:hAnsi="Tahoma" w:cs="Tahoma"/>
          <w:b/>
          <w:color w:val="auto"/>
        </w:rPr>
        <w:t xml:space="preserve"> MILLONES </w:t>
      </w:r>
      <w:r w:rsidR="00C04E27">
        <w:rPr>
          <w:rFonts w:ascii="Tahoma" w:hAnsi="Tahoma" w:cs="Tahoma"/>
          <w:b/>
          <w:color w:val="auto"/>
        </w:rPr>
        <w:t>CUARENTA Y TRES</w:t>
      </w:r>
      <w:r w:rsidR="00B262CD">
        <w:rPr>
          <w:rFonts w:ascii="Tahoma" w:hAnsi="Tahoma" w:cs="Tahoma"/>
          <w:b/>
          <w:color w:val="auto"/>
        </w:rPr>
        <w:t xml:space="preserve"> MIL </w:t>
      </w:r>
      <w:r w:rsidR="00C04E27">
        <w:rPr>
          <w:rFonts w:ascii="Tahoma" w:hAnsi="Tahoma" w:cs="Tahoma"/>
          <w:b/>
          <w:color w:val="auto"/>
        </w:rPr>
        <w:t>SEISCIENTOS</w:t>
      </w:r>
      <w:r w:rsidR="00B262CD">
        <w:rPr>
          <w:rFonts w:ascii="Tahoma" w:hAnsi="Tahoma" w:cs="Tahoma"/>
          <w:b/>
          <w:color w:val="auto"/>
        </w:rPr>
        <w:t xml:space="preserve"> SETENTA Y </w:t>
      </w:r>
      <w:r w:rsidR="00C04E27">
        <w:rPr>
          <w:rFonts w:ascii="Tahoma" w:hAnsi="Tahoma" w:cs="Tahoma"/>
          <w:b/>
          <w:color w:val="auto"/>
        </w:rPr>
        <w:t xml:space="preserve">CINCO </w:t>
      </w:r>
      <w:r w:rsidR="00B262CD">
        <w:rPr>
          <w:rFonts w:ascii="Tahoma" w:hAnsi="Tahoma" w:cs="Tahoma"/>
          <w:b/>
          <w:color w:val="auto"/>
        </w:rPr>
        <w:t xml:space="preserve">PESOS </w:t>
      </w:r>
      <w:r w:rsidR="006A0F41" w:rsidRPr="00A6547B">
        <w:rPr>
          <w:rFonts w:ascii="Tahoma" w:hAnsi="Tahoma" w:cs="Tahoma"/>
          <w:b/>
          <w:color w:val="auto"/>
        </w:rPr>
        <w:t xml:space="preserve">M/CTE </w:t>
      </w:r>
      <w:r w:rsidR="006A0F41" w:rsidRPr="00231ECA">
        <w:rPr>
          <w:rFonts w:ascii="Tahoma" w:hAnsi="Tahoma" w:cs="Tahoma"/>
          <w:b/>
          <w:color w:val="auto"/>
        </w:rPr>
        <w:t>($</w:t>
      </w:r>
      <w:r w:rsidR="00C04E27">
        <w:rPr>
          <w:rFonts w:ascii="Tahoma" w:hAnsi="Tahoma" w:cs="Tahoma"/>
          <w:b/>
          <w:color w:val="auto"/>
        </w:rPr>
        <w:t>26.805.043.675</w:t>
      </w:r>
      <w:r w:rsidR="00581A4A">
        <w:rPr>
          <w:rFonts w:ascii="Tahoma" w:hAnsi="Tahoma" w:cs="Tahoma"/>
          <w:b/>
          <w:color w:val="auto"/>
        </w:rPr>
        <w:t>.</w:t>
      </w:r>
      <w:r w:rsidR="0000466A">
        <w:rPr>
          <w:rFonts w:ascii="Tahoma" w:hAnsi="Tahoma" w:cs="Tahoma"/>
          <w:b/>
          <w:color w:val="auto"/>
        </w:rPr>
        <w:t>o</w:t>
      </w:r>
      <w:r w:rsidR="006A0F41" w:rsidRPr="00231ECA">
        <w:rPr>
          <w:rFonts w:ascii="Tahoma" w:hAnsi="Tahoma" w:cs="Tahoma"/>
          <w:b/>
          <w:color w:val="auto"/>
        </w:rPr>
        <w:t>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B26183">
      <w:pPr>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131163">
        <w:rPr>
          <w:rFonts w:ascii="Tahoma" w:hAnsi="Tahoma" w:cs="Tahoma"/>
        </w:rPr>
        <w:t>Líbano</w:t>
      </w:r>
      <w:r w:rsidR="001734CC">
        <w:rPr>
          <w:rFonts w:ascii="Tahoma" w:hAnsi="Tahoma" w:cs="Tahoma"/>
        </w:rPr>
        <w:t xml:space="preserve">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CE4830" w:rsidRPr="00231ECA">
        <w:rPr>
          <w:rFonts w:ascii="Tahoma" w:hAnsi="Tahoma" w:cs="Tahoma"/>
          <w:b/>
          <w:color w:val="auto"/>
        </w:rPr>
        <w:t>$</w:t>
      </w:r>
      <w:r w:rsidR="00CE4830">
        <w:rPr>
          <w:rFonts w:ascii="Tahoma" w:hAnsi="Tahoma" w:cs="Tahoma"/>
          <w:b/>
          <w:color w:val="auto"/>
        </w:rPr>
        <w:t>26.805.043.675.o</w:t>
      </w:r>
      <w:r w:rsidR="00CE4830" w:rsidRPr="00231ECA">
        <w:rPr>
          <w:rFonts w:ascii="Tahoma" w:hAnsi="Tahoma" w:cs="Tahoma"/>
          <w:b/>
          <w:color w:val="auto"/>
        </w:rPr>
        <w:t>o</w:t>
      </w:r>
      <w:r w:rsidR="00174ED6">
        <w:rPr>
          <w:rFonts w:ascii="Tahoma" w:hAnsi="Tahoma" w:cs="Tahoma"/>
          <w:b/>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C1617D" w:rsidRPr="00B26183">
        <w:rPr>
          <w:rFonts w:ascii="Tahoma" w:eastAsia="Times New Roman" w:hAnsi="Tahoma" w:cs="Tahoma"/>
          <w:b/>
          <w:bCs/>
          <w:color w:val="auto"/>
        </w:rPr>
        <w:lastRenderedPageBreak/>
        <w:t>$</w:t>
      </w:r>
      <w:r w:rsidR="00131163">
        <w:rPr>
          <w:rFonts w:ascii="Tahoma" w:eastAsia="Times New Roman" w:hAnsi="Tahoma" w:cs="Tahoma"/>
          <w:b/>
          <w:bCs/>
          <w:color w:val="auto"/>
        </w:rPr>
        <w:t>14.029.553</w:t>
      </w:r>
      <w:r w:rsidR="00C1617D" w:rsidRPr="00B26183">
        <w:rPr>
          <w:rFonts w:ascii="Tahoma" w:eastAsia="Times New Roman" w:hAnsi="Tahoma" w:cs="Tahoma"/>
          <w:b/>
          <w:bCs/>
          <w:color w:val="auto"/>
        </w:rPr>
        <w:t>.</w:t>
      </w:r>
      <w:r w:rsidR="00131163">
        <w:rPr>
          <w:rFonts w:ascii="Tahoma" w:eastAsia="Times New Roman" w:hAnsi="Tahoma" w:cs="Tahoma"/>
          <w:b/>
          <w:bCs/>
          <w:color w:val="auto"/>
        </w:rPr>
        <w:t>886.</w:t>
      </w:r>
      <w:r w:rsidR="00C1617D" w:rsidRPr="00B26183">
        <w:rPr>
          <w:rFonts w:ascii="Tahoma" w:eastAsia="Times New Roman" w:hAnsi="Tahoma" w:cs="Tahoma"/>
          <w:b/>
          <w:bCs/>
          <w:color w:val="auto"/>
        </w:rPr>
        <w:t>oo</w:t>
      </w:r>
      <w:r w:rsidR="00174ED6" w:rsidRPr="00CA669B">
        <w:rPr>
          <w:rFonts w:ascii="Tahoma" w:hAnsi="Tahoma" w:cs="Tahoma"/>
          <w:b/>
          <w:color w:val="auto"/>
        </w:rPr>
        <w:t>,</w:t>
      </w:r>
      <w:r w:rsidR="00174ED6">
        <w:rPr>
          <w:rFonts w:ascii="Tahoma" w:hAnsi="Tahoma" w:cs="Tahoma"/>
          <w:b/>
          <w:color w:val="auto"/>
        </w:rPr>
        <w:t xml:space="preserve"> </w:t>
      </w:r>
      <w:r w:rsidR="00735592">
        <w:rPr>
          <w:rFonts w:ascii="Tahoma" w:eastAsia="Times New Roman" w:hAnsi="Tahoma" w:cs="Tahoma"/>
          <w:bCs/>
          <w:color w:val="auto"/>
        </w:rPr>
        <w:t xml:space="preserve">y </w:t>
      </w:r>
      <w:r w:rsidR="00B26183">
        <w:rPr>
          <w:rFonts w:ascii="Tahoma" w:eastAsia="Times New Roman" w:hAnsi="Tahoma" w:cs="Tahoma"/>
          <w:bCs/>
          <w:color w:val="auto"/>
        </w:rPr>
        <w:t xml:space="preserve">reducciones por </w:t>
      </w:r>
      <w:r w:rsidR="00B26183" w:rsidRPr="00B26183">
        <w:rPr>
          <w:rFonts w:ascii="Tahoma" w:eastAsia="Times New Roman" w:hAnsi="Tahoma" w:cs="Tahoma"/>
          <w:b/>
          <w:bCs/>
          <w:color w:val="auto"/>
        </w:rPr>
        <w:t>$</w:t>
      </w:r>
      <w:r w:rsidR="00131163">
        <w:rPr>
          <w:rFonts w:ascii="Tahoma" w:eastAsia="Times New Roman" w:hAnsi="Tahoma" w:cs="Tahoma"/>
          <w:b/>
          <w:bCs/>
          <w:color w:val="auto"/>
        </w:rPr>
        <w:t>832.845.036</w:t>
      </w:r>
      <w:r w:rsidR="00DA6502" w:rsidRPr="00B26183">
        <w:rPr>
          <w:rFonts w:ascii="Tahoma" w:eastAsia="Times New Roman" w:hAnsi="Tahoma" w:cs="Tahoma"/>
          <w:b/>
          <w:bCs/>
          <w:color w:val="auto"/>
        </w:rPr>
        <w:t>.oo</w:t>
      </w:r>
      <w:r w:rsidR="00DA6502">
        <w:rPr>
          <w:rFonts w:ascii="Tahoma" w:eastAsia="Times New Roman" w:hAnsi="Tahoma" w:cs="Tahoma"/>
          <w:bCs/>
          <w:color w:val="auto"/>
        </w:rPr>
        <w:t xml:space="preserve">, para un presupuesto definitivo a Diciembre 31 de 2015 de </w:t>
      </w:r>
      <w:r w:rsidR="00DA6502" w:rsidRPr="00B26183">
        <w:rPr>
          <w:rFonts w:ascii="Tahoma" w:eastAsia="Times New Roman" w:hAnsi="Tahoma" w:cs="Tahoma"/>
          <w:b/>
          <w:bCs/>
          <w:color w:val="auto"/>
        </w:rPr>
        <w:t>$</w:t>
      </w:r>
      <w:r w:rsidR="00131163">
        <w:rPr>
          <w:rFonts w:ascii="Tahoma" w:eastAsia="Times New Roman" w:hAnsi="Tahoma" w:cs="Tahoma"/>
          <w:b/>
          <w:bCs/>
          <w:color w:val="auto"/>
        </w:rPr>
        <w:t>40.001.751</w:t>
      </w:r>
      <w:r w:rsidR="008B0625">
        <w:rPr>
          <w:rFonts w:ascii="Tahoma" w:eastAsia="Times New Roman" w:hAnsi="Tahoma" w:cs="Tahoma"/>
          <w:b/>
          <w:bCs/>
          <w:color w:val="auto"/>
        </w:rPr>
        <w:t>.</w:t>
      </w:r>
      <w:r w:rsidR="00131163">
        <w:rPr>
          <w:rFonts w:ascii="Tahoma" w:eastAsia="Times New Roman" w:hAnsi="Tahoma" w:cs="Tahoma"/>
          <w:b/>
          <w:bCs/>
          <w:color w:val="auto"/>
        </w:rPr>
        <w:t>627-</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235"/>
        <w:gridCol w:w="2268"/>
        <w:gridCol w:w="2126"/>
        <w:gridCol w:w="2428"/>
      </w:tblGrid>
      <w:tr w:rsidR="008B0625" w:rsidRPr="00BA1DE4" w:rsidTr="0035231F">
        <w:trPr>
          <w:trHeight w:val="327"/>
        </w:trPr>
        <w:tc>
          <w:tcPr>
            <w:tcW w:w="2235"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2126"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42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8B0625" w:rsidRPr="00BA1DE4" w:rsidTr="0035231F">
        <w:trPr>
          <w:trHeight w:val="551"/>
        </w:trPr>
        <w:tc>
          <w:tcPr>
            <w:tcW w:w="2235" w:type="dxa"/>
          </w:tcPr>
          <w:p w:rsidR="008B0625" w:rsidRPr="00131163" w:rsidRDefault="00131163"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131163">
              <w:rPr>
                <w:rFonts w:ascii="Tahoma" w:hAnsi="Tahoma" w:cs="Tahoma"/>
                <w:color w:val="auto"/>
              </w:rPr>
              <w:t>$26.805.043.675.oo</w:t>
            </w:r>
          </w:p>
        </w:tc>
        <w:tc>
          <w:tcPr>
            <w:tcW w:w="2268" w:type="dxa"/>
          </w:tcPr>
          <w:p w:rsidR="008B0625" w:rsidRPr="00131163" w:rsidRDefault="00131163"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131163">
              <w:rPr>
                <w:rFonts w:ascii="Tahoma" w:eastAsia="Times New Roman" w:hAnsi="Tahoma" w:cs="Tahoma"/>
                <w:bCs/>
                <w:color w:val="auto"/>
              </w:rPr>
              <w:t>$14.029.553.886</w:t>
            </w:r>
            <w:r>
              <w:rPr>
                <w:rFonts w:ascii="Tahoma" w:eastAsia="Times New Roman" w:hAnsi="Tahoma" w:cs="Tahoma"/>
                <w:bCs/>
                <w:color w:val="auto"/>
              </w:rPr>
              <w:t>.</w:t>
            </w:r>
            <w:r w:rsidRPr="00131163">
              <w:rPr>
                <w:rFonts w:ascii="Tahoma" w:eastAsia="Times New Roman" w:hAnsi="Tahoma" w:cs="Tahoma"/>
                <w:bCs/>
                <w:color w:val="auto"/>
              </w:rPr>
              <w:t>oo</w:t>
            </w:r>
          </w:p>
        </w:tc>
        <w:tc>
          <w:tcPr>
            <w:tcW w:w="2126" w:type="dxa"/>
          </w:tcPr>
          <w:p w:rsidR="008B0625" w:rsidRPr="00131163" w:rsidRDefault="00131163"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131163">
              <w:rPr>
                <w:rFonts w:ascii="Tahoma" w:eastAsia="Times New Roman" w:hAnsi="Tahoma" w:cs="Tahoma"/>
                <w:bCs/>
                <w:color w:val="auto"/>
              </w:rPr>
              <w:t>$832.845.036.oo</w:t>
            </w:r>
          </w:p>
        </w:tc>
        <w:tc>
          <w:tcPr>
            <w:tcW w:w="2428" w:type="dxa"/>
          </w:tcPr>
          <w:p w:rsidR="008B0625" w:rsidRPr="00131163" w:rsidRDefault="00131163" w:rsidP="00964E68">
            <w:pPr>
              <w:tabs>
                <w:tab w:val="left" w:pos="2835"/>
              </w:tabs>
              <w:spacing w:before="0" w:line="19" w:lineRule="atLeast"/>
              <w:jc w:val="center"/>
              <w:rPr>
                <w:rFonts w:ascii="Tahoma" w:eastAsia="Times New Roman" w:hAnsi="Tahoma" w:cs="Tahoma"/>
                <w:bCs/>
                <w:color w:val="auto"/>
                <w:sz w:val="20"/>
                <w:szCs w:val="20"/>
                <w:vertAlign w:val="subscript"/>
              </w:rPr>
            </w:pPr>
            <w:r w:rsidRPr="00131163">
              <w:rPr>
                <w:rFonts w:ascii="Tahoma" w:eastAsia="Times New Roman" w:hAnsi="Tahoma" w:cs="Tahoma"/>
                <w:bCs/>
                <w:color w:val="auto"/>
              </w:rPr>
              <w:t>$40.001.751.627</w:t>
            </w:r>
            <w:r w:rsidR="00964E68">
              <w:rPr>
                <w:rFonts w:ascii="Tahoma" w:eastAsia="Times New Roman" w:hAnsi="Tahoma" w:cs="Tahoma"/>
                <w:bCs/>
                <w:color w:val="auto"/>
              </w:rPr>
              <w:t>.oo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390EFDCC" wp14:editId="0F2B43CB">
            <wp:extent cx="5410200" cy="3840480"/>
            <wp:effectExtent l="0" t="0" r="19050" b="2667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820A3F" w:rsidRDefault="00685EF4" w:rsidP="00685EF4">
      <w:pPr>
        <w:rPr>
          <w:rFonts w:ascii="Tahoma" w:eastAsia="Times New Roman" w:hAnsi="Tahoma" w:cs="Tahoma"/>
          <w:b/>
          <w:color w:val="auto"/>
        </w:rPr>
      </w:pPr>
      <w:r w:rsidRPr="00685EF4">
        <w:rPr>
          <w:rFonts w:ascii="Tahoma" w:eastAsia="Times New Roman" w:hAnsi="Tahoma" w:cs="Tahoma"/>
          <w:b/>
          <w:color w:val="auto"/>
        </w:rPr>
        <w:t xml:space="preserve">PRESUPUESTO INICIAL DE </w:t>
      </w:r>
      <w:r w:rsidRPr="00D0423B">
        <w:rPr>
          <w:rFonts w:ascii="Tahoma" w:eastAsia="Times New Roman" w:hAnsi="Tahoma" w:cs="Tahoma"/>
          <w:b/>
          <w:color w:val="auto"/>
        </w:rPr>
        <w:t>INGRESOS</w:t>
      </w:r>
    </w:p>
    <w:p w:rsidR="009A7AA1" w:rsidRDefault="00546D17" w:rsidP="00F8609F">
      <w:pPr>
        <w:jc w:val="center"/>
        <w:rPr>
          <w:rFonts w:ascii="Tahoma" w:eastAsia="Times New Roman" w:hAnsi="Tahoma" w:cs="Tahoma"/>
          <w:color w:val="auto"/>
        </w:rPr>
      </w:pPr>
      <w:r w:rsidRPr="00546D17">
        <w:rPr>
          <w:noProof/>
        </w:rPr>
        <w:drawing>
          <wp:inline distT="0" distB="0" distL="0" distR="0" wp14:anchorId="6CE4E5A2" wp14:editId="244A66AC">
            <wp:extent cx="4138019" cy="236240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38019" cy="2362405"/>
                    </a:xfrm>
                    <a:prstGeom prst="rect">
                      <a:avLst/>
                    </a:prstGeom>
                  </pic:spPr>
                </pic:pic>
              </a:graphicData>
            </a:graphic>
          </wp:inline>
        </w:drawing>
      </w:r>
    </w:p>
    <w:p w:rsidR="005F4548" w:rsidRDefault="00685EF4" w:rsidP="00591B11">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001311B6">
        <w:rPr>
          <w:rFonts w:ascii="Tahoma" w:eastAsia="Times New Roman" w:hAnsi="Tahoma" w:cs="Tahoma"/>
          <w:bCs/>
          <w:color w:val="auto"/>
        </w:rPr>
        <w:t>15.60</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1311B6">
        <w:rPr>
          <w:rFonts w:ascii="Tahoma" w:eastAsia="Times New Roman" w:hAnsi="Tahoma" w:cs="Tahoma"/>
          <w:bCs/>
          <w:color w:val="auto"/>
        </w:rPr>
        <w:t>4.180 millones e</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820A3F">
        <w:rPr>
          <w:rFonts w:ascii="Tahoma" w:eastAsia="Times New Roman" w:hAnsi="Tahoma" w:cs="Tahoma"/>
          <w:bCs/>
          <w:color w:val="auto"/>
        </w:rPr>
        <w:t xml:space="preserve">el </w:t>
      </w:r>
      <w:r w:rsidR="001311B6">
        <w:rPr>
          <w:rFonts w:ascii="Tahoma" w:eastAsia="Times New Roman" w:hAnsi="Tahoma" w:cs="Tahoma"/>
          <w:bCs/>
          <w:color w:val="auto"/>
        </w:rPr>
        <w:t>84.40</w:t>
      </w:r>
      <w:r w:rsidR="004A24B6">
        <w:rPr>
          <w:rFonts w:ascii="Tahoma" w:eastAsia="Times New Roman" w:hAnsi="Tahoma" w:cs="Tahoma"/>
          <w:bCs/>
          <w:color w:val="auto"/>
        </w:rPr>
        <w:t>%</w:t>
      </w:r>
      <w:r w:rsidR="00820A3F">
        <w:rPr>
          <w:rFonts w:ascii="Tahoma" w:eastAsia="Times New Roman" w:hAnsi="Tahoma" w:cs="Tahoma"/>
          <w:bCs/>
          <w:color w:val="auto"/>
        </w:rPr>
        <w:t xml:space="preserve"> equivalente</w:t>
      </w:r>
      <w:r w:rsidR="001311B6">
        <w:rPr>
          <w:rFonts w:ascii="Tahoma" w:eastAsia="Times New Roman" w:hAnsi="Tahoma" w:cs="Tahoma"/>
          <w:bCs/>
          <w:color w:val="auto"/>
        </w:rPr>
        <w:t>s</w:t>
      </w:r>
      <w:r>
        <w:rPr>
          <w:rFonts w:ascii="Tahoma" w:eastAsia="Times New Roman" w:hAnsi="Tahoma" w:cs="Tahoma"/>
          <w:bCs/>
          <w:color w:val="auto"/>
        </w:rPr>
        <w:t xml:space="preserve"> a </w:t>
      </w:r>
      <w:r w:rsidRPr="009A7AA1">
        <w:rPr>
          <w:rFonts w:ascii="Tahoma" w:eastAsia="Times New Roman" w:hAnsi="Tahoma" w:cs="Tahoma"/>
          <w:bCs/>
          <w:color w:val="auto"/>
        </w:rPr>
        <w:t>$</w:t>
      </w:r>
      <w:r w:rsidR="001311B6">
        <w:rPr>
          <w:rFonts w:ascii="Tahoma" w:eastAsia="Times New Roman" w:hAnsi="Tahoma" w:cs="Tahoma"/>
          <w:bCs/>
          <w:color w:val="auto"/>
        </w:rPr>
        <w:t xml:space="preserve">22.624 </w:t>
      </w:r>
      <w:r w:rsidR="005F4548">
        <w:rPr>
          <w:rFonts w:ascii="Tahoma" w:eastAsia="Times New Roman" w:hAnsi="Tahoma" w:cs="Tahoma"/>
          <w:color w:val="auto"/>
        </w:rPr>
        <w:t>mill</w:t>
      </w:r>
      <w:r w:rsidR="00392FBA">
        <w:rPr>
          <w:rFonts w:ascii="Tahoma" w:eastAsia="Times New Roman" w:hAnsi="Tahoma" w:cs="Tahoma"/>
          <w:color w:val="auto"/>
        </w:rPr>
        <w:t>ones</w:t>
      </w:r>
      <w:r w:rsidR="001311B6">
        <w:rPr>
          <w:rFonts w:ascii="Tahoma" w:eastAsia="Times New Roman" w:hAnsi="Tahoma" w:cs="Tahoma"/>
          <w:color w:val="auto"/>
        </w:rPr>
        <w:t>.</w:t>
      </w:r>
      <w:r>
        <w:rPr>
          <w:rFonts w:ascii="Tahoma" w:eastAsia="Times New Roman" w:hAnsi="Tahoma" w:cs="Tahoma"/>
          <w:color w:val="auto"/>
        </w:rPr>
        <w:t xml:space="preserve"> </w:t>
      </w:r>
    </w:p>
    <w:p w:rsidR="005F4548" w:rsidRDefault="005F4548" w:rsidP="005F4548">
      <w:pPr>
        <w:rPr>
          <w:rFonts w:ascii="Tahoma" w:eastAsia="Times New Roman" w:hAnsi="Tahoma" w:cs="Tahoma"/>
        </w:rPr>
      </w:pPr>
    </w:p>
    <w:p w:rsidR="005F4548" w:rsidRPr="00521391" w:rsidRDefault="005F4548" w:rsidP="005F4548">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Pr>
          <w:rFonts w:ascii="Tahoma" w:eastAsia="Times New Roman" w:hAnsi="Tahoma" w:cs="Tahoma"/>
          <w:b/>
          <w:bCs/>
          <w:color w:val="auto"/>
        </w:rPr>
        <w:t xml:space="preserve"> DE INGRESOS (ADICIONES)</w:t>
      </w:r>
    </w:p>
    <w:p w:rsidR="005F4548" w:rsidRDefault="005F4548" w:rsidP="005F4548">
      <w:pPr>
        <w:tabs>
          <w:tab w:val="left" w:pos="2835"/>
        </w:tabs>
        <w:spacing w:before="0" w:after="0" w:line="19" w:lineRule="atLeast"/>
        <w:jc w:val="both"/>
        <w:rPr>
          <w:rFonts w:ascii="Tahoma" w:eastAsia="Times New Roman" w:hAnsi="Tahoma" w:cs="Tahoma"/>
          <w:bCs/>
          <w:color w:val="auto"/>
        </w:rPr>
      </w:pPr>
    </w:p>
    <w:p w:rsidR="005F4548" w:rsidRDefault="005F4548" w:rsidP="00B67E9E">
      <w:pPr>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w:t>
      </w:r>
      <w:r w:rsidR="00522858">
        <w:rPr>
          <w:rFonts w:ascii="Tahoma" w:eastAsia="Times New Roman" w:hAnsi="Tahoma" w:cs="Tahoma"/>
          <w:bCs/>
          <w:color w:val="auto"/>
        </w:rPr>
        <w:t xml:space="preserve"> Municipio de</w:t>
      </w:r>
      <w:r>
        <w:rPr>
          <w:rFonts w:ascii="Tahoma" w:eastAsia="Times New Roman" w:hAnsi="Tahoma" w:cs="Tahoma"/>
          <w:bCs/>
          <w:color w:val="auto"/>
        </w:rPr>
        <w:t xml:space="preserve"> </w:t>
      </w:r>
      <w:r w:rsidR="00013B72">
        <w:rPr>
          <w:rFonts w:ascii="Tahoma" w:eastAsia="Times New Roman" w:hAnsi="Tahoma" w:cs="Tahoma"/>
          <w:bCs/>
          <w:color w:val="auto"/>
        </w:rPr>
        <w:t>Líbano</w:t>
      </w:r>
      <w:r w:rsidR="00073B9C">
        <w:rPr>
          <w:rFonts w:ascii="Tahoma" w:eastAsia="Times New Roman" w:hAnsi="Tahoma" w:cs="Tahoma"/>
          <w:bCs/>
          <w:color w:val="auto"/>
        </w:rPr>
        <w:t xml:space="preserve"> </w:t>
      </w:r>
      <w:r w:rsidR="00C16960">
        <w:rPr>
          <w:rFonts w:ascii="Tahoma" w:eastAsia="Times New Roman" w:hAnsi="Tahoma" w:cs="Tahoma"/>
          <w:bCs/>
          <w:color w:val="auto"/>
        </w:rPr>
        <w:t xml:space="preserve">                                                                                                                                                             </w:t>
      </w:r>
      <w:r>
        <w:rPr>
          <w:rFonts w:ascii="Tahoma" w:eastAsia="Times New Roman" w:hAnsi="Tahoma" w:cs="Tahoma"/>
          <w:bCs/>
          <w:color w:val="auto"/>
        </w:rPr>
        <w:t xml:space="preserve">fue adicionado en un </w:t>
      </w:r>
      <w:r w:rsidR="00013B72">
        <w:rPr>
          <w:rFonts w:ascii="Tahoma" w:eastAsia="Times New Roman" w:hAnsi="Tahoma" w:cs="Tahoma"/>
          <w:bCs/>
          <w:color w:val="auto"/>
        </w:rPr>
        <w:t>52.34</w:t>
      </w:r>
      <w:r w:rsidR="000B720D">
        <w:rPr>
          <w:rFonts w:ascii="Tahoma" w:eastAsia="Times New Roman" w:hAnsi="Tahoma" w:cs="Tahoma"/>
          <w:bCs/>
          <w:color w:val="auto"/>
        </w:rPr>
        <w:t>%</w:t>
      </w:r>
      <w:r>
        <w:rPr>
          <w:rFonts w:ascii="Tahoma" w:eastAsia="Times New Roman" w:hAnsi="Tahoma" w:cs="Tahoma"/>
          <w:bCs/>
          <w:color w:val="auto"/>
        </w:rPr>
        <w:t xml:space="preserve"> equivalentes a </w:t>
      </w:r>
      <w:r w:rsidRPr="00604368">
        <w:rPr>
          <w:rFonts w:ascii="Tahoma" w:eastAsia="Times New Roman" w:hAnsi="Tahoma" w:cs="Tahoma"/>
          <w:b/>
          <w:bCs/>
          <w:color w:val="auto"/>
        </w:rPr>
        <w:t>$</w:t>
      </w:r>
      <w:r w:rsidR="00013B72">
        <w:rPr>
          <w:rFonts w:ascii="Tahoma" w:eastAsia="Times New Roman" w:hAnsi="Tahoma" w:cs="Tahoma"/>
          <w:b/>
          <w:bCs/>
          <w:color w:val="auto"/>
        </w:rPr>
        <w:t>14.029</w:t>
      </w:r>
      <w:r>
        <w:rPr>
          <w:rFonts w:ascii="Tahoma" w:eastAsia="Times New Roman" w:hAnsi="Tahoma" w:cs="Tahoma"/>
          <w:bCs/>
          <w:color w:val="auto"/>
        </w:rPr>
        <w:t xml:space="preserve"> millones y las principales modificaciones se realizaron en los Ingresos </w:t>
      </w:r>
      <w:r w:rsidR="00013B72">
        <w:rPr>
          <w:rFonts w:ascii="Tahoma" w:eastAsia="Times New Roman" w:hAnsi="Tahoma" w:cs="Tahoma"/>
          <w:bCs/>
          <w:color w:val="auto"/>
        </w:rPr>
        <w:t xml:space="preserve">No </w:t>
      </w:r>
      <w:r>
        <w:rPr>
          <w:rFonts w:ascii="Tahoma" w:eastAsia="Times New Roman" w:hAnsi="Tahoma" w:cs="Tahoma"/>
          <w:bCs/>
          <w:color w:val="auto"/>
        </w:rPr>
        <w:t>Tributarios en la suma de $</w:t>
      </w:r>
      <w:r w:rsidR="000B1E37">
        <w:rPr>
          <w:rFonts w:ascii="Tahoma" w:eastAsia="Times New Roman" w:hAnsi="Tahoma" w:cs="Tahoma"/>
          <w:bCs/>
          <w:color w:val="auto"/>
        </w:rPr>
        <w:t>2</w:t>
      </w:r>
      <w:r w:rsidR="00013B72">
        <w:rPr>
          <w:rFonts w:ascii="Tahoma" w:eastAsia="Times New Roman" w:hAnsi="Tahoma" w:cs="Tahoma"/>
          <w:bCs/>
          <w:color w:val="auto"/>
        </w:rPr>
        <w:t>.289</w:t>
      </w:r>
      <w:r>
        <w:rPr>
          <w:rFonts w:ascii="Tahoma" w:eastAsia="Times New Roman" w:hAnsi="Tahoma" w:cs="Tahoma"/>
          <w:bCs/>
          <w:color w:val="auto"/>
        </w:rPr>
        <w:t xml:space="preserve"> millones,  </w:t>
      </w:r>
      <w:r w:rsidR="00013B72">
        <w:rPr>
          <w:rFonts w:ascii="Tahoma" w:eastAsia="Times New Roman" w:hAnsi="Tahoma" w:cs="Tahoma"/>
          <w:bCs/>
          <w:color w:val="auto"/>
        </w:rPr>
        <w:t xml:space="preserve">e Ingresos de </w:t>
      </w:r>
      <w:r w:rsidR="00D62651">
        <w:rPr>
          <w:rFonts w:ascii="Tahoma" w:eastAsia="Times New Roman" w:hAnsi="Tahoma" w:cs="Tahoma"/>
          <w:bCs/>
          <w:color w:val="auto"/>
        </w:rPr>
        <w:t>Capital $</w:t>
      </w:r>
      <w:r w:rsidR="00013B72">
        <w:rPr>
          <w:rFonts w:ascii="Tahoma" w:eastAsia="Times New Roman" w:hAnsi="Tahoma" w:cs="Tahoma"/>
          <w:bCs/>
          <w:color w:val="auto"/>
        </w:rPr>
        <w:t>9.933</w:t>
      </w:r>
      <w:r w:rsidR="00D62651">
        <w:rPr>
          <w:rFonts w:ascii="Tahoma" w:eastAsia="Times New Roman" w:hAnsi="Tahoma" w:cs="Tahoma"/>
          <w:bCs/>
          <w:color w:val="auto"/>
        </w:rPr>
        <w:t xml:space="preserve"> millones</w:t>
      </w:r>
      <w:r>
        <w:rPr>
          <w:rFonts w:ascii="Tahoma" w:eastAsia="Times New Roman" w:hAnsi="Tahoma" w:cs="Tahoma"/>
          <w:bCs/>
          <w:color w:val="auto"/>
        </w:rPr>
        <w:t>. Ver tabla.</w:t>
      </w:r>
    </w:p>
    <w:p w:rsidR="00964E68" w:rsidRDefault="00964E68" w:rsidP="005F4548">
      <w:pPr>
        <w:tabs>
          <w:tab w:val="left" w:pos="2835"/>
        </w:tabs>
        <w:spacing w:before="0" w:after="0" w:line="19" w:lineRule="atLeast"/>
        <w:jc w:val="both"/>
        <w:rPr>
          <w:rFonts w:ascii="Tahoma" w:eastAsia="Times New Roman" w:hAnsi="Tahoma" w:cs="Tahoma"/>
          <w:bCs/>
          <w:color w:val="auto"/>
        </w:rPr>
      </w:pPr>
    </w:p>
    <w:p w:rsidR="00C945E3" w:rsidRDefault="00964E68" w:rsidP="00D62651">
      <w:pPr>
        <w:jc w:val="center"/>
        <w:rPr>
          <w:rFonts w:ascii="Tahoma" w:eastAsia="Times New Roman" w:hAnsi="Tahoma" w:cs="Tahoma"/>
        </w:rPr>
      </w:pPr>
      <w:r w:rsidRPr="00964E68">
        <w:rPr>
          <w:noProof/>
        </w:rPr>
        <w:lastRenderedPageBreak/>
        <w:drawing>
          <wp:inline distT="0" distB="0" distL="0" distR="0" wp14:anchorId="609954F7" wp14:editId="755D8349">
            <wp:extent cx="5612130" cy="2147570"/>
            <wp:effectExtent l="0" t="0" r="762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2130" cy="2147570"/>
                    </a:xfrm>
                    <a:prstGeom prst="rect">
                      <a:avLst/>
                    </a:prstGeom>
                  </pic:spPr>
                </pic:pic>
              </a:graphicData>
            </a:graphic>
          </wp:inline>
        </w:drawing>
      </w:r>
    </w:p>
    <w:p w:rsidR="00B51E12" w:rsidRDefault="00B51E12" w:rsidP="00BF3E26">
      <w:pPr>
        <w:tabs>
          <w:tab w:val="left" w:pos="2835"/>
        </w:tabs>
        <w:spacing w:before="0" w:after="0" w:line="19" w:lineRule="atLeast"/>
        <w:rPr>
          <w:noProof/>
          <w:lang w:val="es-ES" w:eastAsia="es-ES"/>
        </w:rPr>
      </w:pPr>
    </w:p>
    <w:p w:rsidR="00FB2024" w:rsidRDefault="005073CF" w:rsidP="0018299A">
      <w:pPr>
        <w:tabs>
          <w:tab w:val="left" w:pos="5667"/>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691813" w:rsidRDefault="00691813" w:rsidP="008032B9">
      <w:pPr>
        <w:tabs>
          <w:tab w:val="left" w:pos="2835"/>
        </w:tabs>
        <w:spacing w:before="0" w:after="0" w:line="19" w:lineRule="atLeast"/>
        <w:jc w:val="both"/>
        <w:rPr>
          <w:rFonts w:ascii="Tahoma" w:hAnsi="Tahoma" w:cs="Tahoma"/>
          <w:noProof/>
          <w:color w:val="auto"/>
        </w:rPr>
      </w:pPr>
    </w:p>
    <w:p w:rsidR="008032B9" w:rsidRDefault="008032B9" w:rsidP="009848DF">
      <w:pPr>
        <w:tabs>
          <w:tab w:val="left" w:pos="2835"/>
        </w:tabs>
        <w:spacing w:before="0" w:after="0" w:line="19" w:lineRule="atLeast"/>
        <w:jc w:val="both"/>
        <w:rPr>
          <w:rFonts w:ascii="Tahoma" w:hAnsi="Tahoma" w:cs="Tahoma"/>
          <w:b/>
          <w:noProof/>
          <w:color w:val="auto"/>
        </w:rPr>
      </w:pPr>
      <w:r>
        <w:rPr>
          <w:rFonts w:ascii="Tahoma" w:hAnsi="Tahoma" w:cs="Tahoma"/>
          <w:noProof/>
          <w:color w:val="auto"/>
        </w:rPr>
        <w:t>E</w:t>
      </w:r>
      <w:r w:rsidRPr="00836C5C">
        <w:rPr>
          <w:rFonts w:ascii="Tahoma" w:hAnsi="Tahoma" w:cs="Tahoma"/>
          <w:noProof/>
          <w:color w:val="auto"/>
        </w:rPr>
        <w:t xml:space="preserve">l presupuesto de ingresos </w:t>
      </w:r>
      <w:r>
        <w:rPr>
          <w:rFonts w:ascii="Tahoma" w:hAnsi="Tahoma" w:cs="Tahoma"/>
          <w:noProof/>
          <w:color w:val="auto"/>
        </w:rPr>
        <w:t xml:space="preserve">definitivo </w:t>
      </w:r>
      <w:r w:rsidRPr="00836C5C">
        <w:rPr>
          <w:rFonts w:ascii="Tahoma" w:hAnsi="Tahoma" w:cs="Tahoma"/>
          <w:noProof/>
          <w:color w:val="auto"/>
        </w:rPr>
        <w:t xml:space="preserve">del Municipio de </w:t>
      </w:r>
      <w:r w:rsidR="00964E68">
        <w:rPr>
          <w:rFonts w:ascii="Tahoma" w:hAnsi="Tahoma" w:cs="Tahoma"/>
          <w:noProof/>
          <w:color w:val="auto"/>
        </w:rPr>
        <w:t>Líbano</w:t>
      </w:r>
      <w:r w:rsidRPr="00836C5C">
        <w:rPr>
          <w:rFonts w:ascii="Tahoma" w:hAnsi="Tahoma" w:cs="Tahoma"/>
          <w:noProof/>
          <w:color w:val="auto"/>
        </w:rPr>
        <w:t xml:space="preserve"> a Diciembre 31 de 2015</w:t>
      </w:r>
      <w:r>
        <w:rPr>
          <w:rFonts w:ascii="Tahoma" w:hAnsi="Tahoma" w:cs="Tahoma"/>
          <w:noProof/>
          <w:color w:val="auto"/>
        </w:rPr>
        <w:t xml:space="preserve"> fue de </w:t>
      </w:r>
      <w:r w:rsidR="00964E68" w:rsidRPr="00131163">
        <w:rPr>
          <w:rFonts w:ascii="Tahoma" w:eastAsia="Times New Roman" w:hAnsi="Tahoma" w:cs="Tahoma"/>
          <w:bCs/>
          <w:color w:val="auto"/>
        </w:rPr>
        <w:t>$40.001.751.627</w:t>
      </w:r>
      <w:r w:rsidR="00964E68">
        <w:rPr>
          <w:rFonts w:ascii="Tahoma" w:eastAsia="Times New Roman" w:hAnsi="Tahoma" w:cs="Tahoma"/>
          <w:bCs/>
          <w:color w:val="auto"/>
        </w:rPr>
        <w:t>.oo</w:t>
      </w:r>
      <w:r>
        <w:rPr>
          <w:rFonts w:ascii="Tahoma" w:hAnsi="Tahoma" w:cs="Tahoma"/>
          <w:noProof/>
          <w:color w:val="auto"/>
        </w:rPr>
        <w:t xml:space="preserve">, de los cuales se recaudó la suma de </w:t>
      </w:r>
      <w:r w:rsidRPr="008D24B0">
        <w:rPr>
          <w:rFonts w:ascii="Tahoma" w:hAnsi="Tahoma" w:cs="Tahoma"/>
          <w:noProof/>
          <w:color w:val="auto"/>
        </w:rPr>
        <w:t>$</w:t>
      </w:r>
      <w:r w:rsidR="00964E68">
        <w:rPr>
          <w:rFonts w:ascii="Tahoma" w:hAnsi="Tahoma" w:cs="Tahoma"/>
          <w:noProof/>
          <w:color w:val="auto"/>
        </w:rPr>
        <w:t>38.970.597.612</w:t>
      </w:r>
      <w:r w:rsidR="008D24B0">
        <w:rPr>
          <w:rFonts w:ascii="Tahoma" w:hAnsi="Tahoma" w:cs="Tahoma"/>
          <w:noProof/>
          <w:color w:val="auto"/>
        </w:rPr>
        <w:t>.</w:t>
      </w:r>
      <w:r w:rsidR="00FF681E">
        <w:rPr>
          <w:rFonts w:ascii="Tahoma" w:hAnsi="Tahoma" w:cs="Tahoma"/>
          <w:noProof/>
          <w:color w:val="auto"/>
        </w:rPr>
        <w:t>o</w:t>
      </w:r>
      <w:r w:rsidR="005E0382">
        <w:rPr>
          <w:rFonts w:ascii="Tahoma" w:hAnsi="Tahoma" w:cs="Tahoma"/>
          <w:noProof/>
          <w:color w:val="auto"/>
        </w:rPr>
        <w:t xml:space="preserve">o, es decir, el recaudo fue del </w:t>
      </w:r>
      <w:r w:rsidR="00964E68">
        <w:rPr>
          <w:rFonts w:ascii="Tahoma" w:hAnsi="Tahoma" w:cs="Tahoma"/>
          <w:noProof/>
          <w:color w:val="auto"/>
        </w:rPr>
        <w:t>97.42%</w:t>
      </w:r>
      <w:r w:rsidR="005E0382">
        <w:rPr>
          <w:rFonts w:ascii="Tahoma" w:hAnsi="Tahoma" w:cs="Tahoma"/>
          <w:noProof/>
          <w:color w:val="auto"/>
        </w:rPr>
        <w:t>,</w:t>
      </w:r>
      <w:r w:rsidR="00EA7A00">
        <w:rPr>
          <w:rFonts w:ascii="Tahoma" w:hAnsi="Tahoma" w:cs="Tahoma"/>
          <w:noProof/>
          <w:color w:val="auto"/>
        </w:rPr>
        <w:t xml:space="preserve"> </w:t>
      </w:r>
      <w:r>
        <w:rPr>
          <w:rFonts w:ascii="Tahoma" w:hAnsi="Tahoma" w:cs="Tahoma"/>
        </w:rPr>
        <w:t>qued</w:t>
      </w:r>
      <w:r w:rsidR="00EA7A00">
        <w:rPr>
          <w:rFonts w:ascii="Tahoma" w:hAnsi="Tahoma" w:cs="Tahoma"/>
        </w:rPr>
        <w:t>ando</w:t>
      </w:r>
      <w:r>
        <w:rPr>
          <w:rFonts w:ascii="Tahoma" w:hAnsi="Tahoma" w:cs="Tahoma"/>
        </w:rPr>
        <w:t xml:space="preserve"> pendiente por recaudar la suma de $</w:t>
      </w:r>
      <w:r w:rsidR="00964E68">
        <w:rPr>
          <w:rFonts w:ascii="Tahoma" w:hAnsi="Tahoma" w:cs="Tahoma"/>
        </w:rPr>
        <w:t>1.774</w:t>
      </w:r>
      <w:r w:rsidR="007B2470">
        <w:rPr>
          <w:rFonts w:ascii="Tahoma" w:hAnsi="Tahoma" w:cs="Tahoma"/>
        </w:rPr>
        <w:t xml:space="preserve"> millones</w:t>
      </w:r>
      <w:r>
        <w:rPr>
          <w:rFonts w:ascii="Tahoma" w:hAnsi="Tahoma" w:cs="Tahoma"/>
        </w:rPr>
        <w:t>, correspondie</w:t>
      </w:r>
      <w:r w:rsidR="001D3576">
        <w:rPr>
          <w:rFonts w:ascii="Tahoma" w:hAnsi="Tahoma" w:cs="Tahoma"/>
        </w:rPr>
        <w:t xml:space="preserve">ntes </w:t>
      </w:r>
      <w:r w:rsidR="00FA29BA">
        <w:rPr>
          <w:rFonts w:ascii="Tahoma" w:hAnsi="Tahoma" w:cs="Tahoma"/>
        </w:rPr>
        <w:t xml:space="preserve">a Ingresos </w:t>
      </w:r>
      <w:r w:rsidR="00964E68">
        <w:rPr>
          <w:rFonts w:ascii="Tahoma" w:hAnsi="Tahoma" w:cs="Tahoma"/>
        </w:rPr>
        <w:t xml:space="preserve">Tributarios, Ingresos </w:t>
      </w:r>
      <w:r w:rsidR="00E83353">
        <w:rPr>
          <w:rFonts w:ascii="Tahoma" w:hAnsi="Tahoma" w:cs="Tahoma"/>
        </w:rPr>
        <w:t xml:space="preserve">No </w:t>
      </w:r>
      <w:r w:rsidR="00FA29BA">
        <w:rPr>
          <w:rFonts w:ascii="Tahoma" w:hAnsi="Tahoma" w:cs="Tahoma"/>
        </w:rPr>
        <w:t>Tributarios</w:t>
      </w:r>
      <w:r w:rsidR="00964E68">
        <w:rPr>
          <w:rFonts w:ascii="Tahoma" w:hAnsi="Tahoma" w:cs="Tahoma"/>
        </w:rPr>
        <w:t xml:space="preserve"> e Ingresos de Capital</w:t>
      </w:r>
      <w:proofErr w:type="gramStart"/>
      <w:r w:rsidR="00964E68">
        <w:rPr>
          <w:rFonts w:ascii="Tahoma" w:hAnsi="Tahoma" w:cs="Tahoma"/>
        </w:rPr>
        <w:t>.</w:t>
      </w:r>
      <w:r w:rsidR="00FA29BA">
        <w:rPr>
          <w:rFonts w:ascii="Tahoma" w:hAnsi="Tahoma" w:cs="Tahoma"/>
        </w:rPr>
        <w:t>.</w:t>
      </w:r>
      <w:proofErr w:type="gramEnd"/>
      <w:r w:rsidR="001D31AB">
        <w:rPr>
          <w:rFonts w:ascii="Tahoma" w:hAnsi="Tahoma" w:cs="Tahoma"/>
        </w:rPr>
        <w:t xml:space="preserve">  </w:t>
      </w:r>
    </w:p>
    <w:p w:rsidR="00915224" w:rsidRDefault="00915224" w:rsidP="00691813">
      <w:pPr>
        <w:tabs>
          <w:tab w:val="left" w:pos="2835"/>
        </w:tabs>
        <w:spacing w:before="0" w:after="0" w:line="19" w:lineRule="atLeast"/>
        <w:rPr>
          <w:rFonts w:ascii="Tahoma" w:hAnsi="Tahoma" w:cs="Tahoma"/>
          <w:noProof/>
          <w:color w:val="auto"/>
        </w:rPr>
      </w:pPr>
    </w:p>
    <w:p w:rsidR="00691813" w:rsidRDefault="002E4D5C" w:rsidP="00691813">
      <w:pPr>
        <w:tabs>
          <w:tab w:val="left" w:pos="2835"/>
        </w:tabs>
        <w:spacing w:before="0" w:after="0" w:line="19" w:lineRule="atLeast"/>
        <w:jc w:val="center"/>
        <w:rPr>
          <w:rFonts w:ascii="Tahoma" w:hAnsi="Tahoma" w:cs="Tahoma"/>
          <w:noProof/>
          <w:color w:val="auto"/>
        </w:rPr>
      </w:pPr>
      <w:r>
        <w:rPr>
          <w:rFonts w:ascii="Tahoma" w:hAnsi="Tahoma" w:cs="Tahoma"/>
          <w:noProof/>
          <w:color w:val="auto"/>
        </w:rPr>
        <w:drawing>
          <wp:inline distT="0" distB="0" distL="0" distR="0" wp14:anchorId="402C92F9" wp14:editId="090F1E45">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073CF" w:rsidRDefault="001055EC" w:rsidP="00471A9A">
      <w:pPr>
        <w:tabs>
          <w:tab w:val="left" w:pos="3924"/>
        </w:tabs>
        <w:jc w:val="center"/>
        <w:rPr>
          <w:rFonts w:ascii="Tahoma" w:hAnsi="Tahoma" w:cs="Tahoma"/>
        </w:rPr>
      </w:pPr>
      <w:r>
        <w:rPr>
          <w:rFonts w:ascii="Tahoma" w:hAnsi="Tahoma" w:cs="Tahoma"/>
        </w:rPr>
        <w:t xml:space="preserve"> </w:t>
      </w:r>
    </w:p>
    <w:p w:rsidR="00D27BCA" w:rsidRPr="001D3576" w:rsidRDefault="00EE40F7" w:rsidP="001D3576">
      <w:pPr>
        <w:spacing w:before="0" w:after="0" w:line="19" w:lineRule="atLeast"/>
        <w:rPr>
          <w:rFonts w:ascii="Tahoma" w:hAnsi="Tahoma" w:cs="Tahoma"/>
          <w:b/>
        </w:rPr>
      </w:pPr>
      <w:r w:rsidRPr="001D3576">
        <w:rPr>
          <w:rFonts w:ascii="Tahoma" w:hAnsi="Tahoma" w:cs="Tahoma"/>
          <w:b/>
        </w:rPr>
        <w:t xml:space="preserve">2.2   </w:t>
      </w:r>
      <w:r w:rsidR="00D27BCA" w:rsidRPr="001D3576">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6F3FF2" w:rsidRDefault="004260B3" w:rsidP="006F3FF2">
      <w:pPr>
        <w:jc w:val="both"/>
        <w:rPr>
          <w:rFonts w:ascii="Tahoma" w:eastAsia="Times New Roman" w:hAnsi="Tahoma" w:cs="Tahoma"/>
          <w:b/>
          <w:bCs/>
          <w:color w:val="auto"/>
        </w:rPr>
      </w:pPr>
      <w:r w:rsidRPr="005540CE">
        <w:rPr>
          <w:rFonts w:ascii="Tahoma" w:hAnsi="Tahoma" w:cs="Tahoma"/>
        </w:rPr>
        <w:t xml:space="preserve">El presupuesto </w:t>
      </w:r>
      <w:r>
        <w:rPr>
          <w:rFonts w:ascii="Tahoma" w:hAnsi="Tahoma" w:cs="Tahoma"/>
        </w:rPr>
        <w:t xml:space="preserve">de Gastos del Municipio de </w:t>
      </w:r>
      <w:r w:rsidR="006F3FF2">
        <w:rPr>
          <w:rFonts w:ascii="Tahoma" w:hAnsi="Tahoma" w:cs="Tahoma"/>
        </w:rPr>
        <w:t>Líbano</w:t>
      </w:r>
      <w:r>
        <w:rPr>
          <w:rFonts w:ascii="Tahoma" w:hAnsi="Tahoma" w:cs="Tahoma"/>
        </w:rPr>
        <w:t xml:space="preserve"> para la vigencia fiscal 2015 fue aprobado en la cuantía de </w:t>
      </w:r>
      <w:r w:rsidR="006F3FF2" w:rsidRPr="00231ECA">
        <w:rPr>
          <w:rFonts w:ascii="Tahoma" w:hAnsi="Tahoma" w:cs="Tahoma"/>
          <w:b/>
          <w:color w:val="auto"/>
        </w:rPr>
        <w:t>$</w:t>
      </w:r>
      <w:r w:rsidR="006F3FF2">
        <w:rPr>
          <w:rFonts w:ascii="Tahoma" w:hAnsi="Tahoma" w:cs="Tahoma"/>
          <w:b/>
          <w:color w:val="auto"/>
        </w:rPr>
        <w:t>26.805.043.675.o</w:t>
      </w:r>
      <w:r w:rsidR="006F3FF2" w:rsidRPr="00231ECA">
        <w:rPr>
          <w:rFonts w:ascii="Tahoma" w:hAnsi="Tahoma" w:cs="Tahoma"/>
          <w:b/>
          <w:color w:val="auto"/>
        </w:rPr>
        <w:t>o</w:t>
      </w:r>
      <w:r w:rsidR="006F3FF2">
        <w:rPr>
          <w:rFonts w:ascii="Tahoma" w:hAnsi="Tahoma" w:cs="Tahoma"/>
          <w:b/>
        </w:rPr>
        <w:t xml:space="preserve">, </w:t>
      </w:r>
      <w:r w:rsidR="006F3FF2" w:rsidRPr="00DA6502">
        <w:rPr>
          <w:rFonts w:ascii="Tahoma" w:hAnsi="Tahoma" w:cs="Tahoma"/>
          <w:color w:val="auto"/>
        </w:rPr>
        <w:t>presentó adiciones</w:t>
      </w:r>
      <w:r w:rsidR="006F3FF2">
        <w:rPr>
          <w:rFonts w:ascii="Tahoma" w:hAnsi="Tahoma" w:cs="Tahoma"/>
          <w:color w:val="auto"/>
        </w:rPr>
        <w:t xml:space="preserve"> presupuestales por</w:t>
      </w:r>
      <w:r w:rsidR="006F3FF2" w:rsidRPr="00DA6502">
        <w:rPr>
          <w:rFonts w:ascii="Tahoma" w:hAnsi="Tahoma" w:cs="Tahoma"/>
          <w:color w:val="auto"/>
        </w:rPr>
        <w:t xml:space="preserve"> </w:t>
      </w:r>
      <w:r w:rsidR="006F3FF2" w:rsidRPr="00B26183">
        <w:rPr>
          <w:rFonts w:ascii="Tahoma" w:eastAsia="Times New Roman" w:hAnsi="Tahoma" w:cs="Tahoma"/>
          <w:b/>
          <w:bCs/>
          <w:color w:val="auto"/>
        </w:rPr>
        <w:t>$</w:t>
      </w:r>
      <w:r w:rsidR="006F3FF2">
        <w:rPr>
          <w:rFonts w:ascii="Tahoma" w:eastAsia="Times New Roman" w:hAnsi="Tahoma" w:cs="Tahoma"/>
          <w:b/>
          <w:bCs/>
          <w:color w:val="auto"/>
        </w:rPr>
        <w:t>14.029.553</w:t>
      </w:r>
      <w:r w:rsidR="006F3FF2" w:rsidRPr="00B26183">
        <w:rPr>
          <w:rFonts w:ascii="Tahoma" w:eastAsia="Times New Roman" w:hAnsi="Tahoma" w:cs="Tahoma"/>
          <w:b/>
          <w:bCs/>
          <w:color w:val="auto"/>
        </w:rPr>
        <w:t>.</w:t>
      </w:r>
      <w:r w:rsidR="006F3FF2">
        <w:rPr>
          <w:rFonts w:ascii="Tahoma" w:eastAsia="Times New Roman" w:hAnsi="Tahoma" w:cs="Tahoma"/>
          <w:b/>
          <w:bCs/>
          <w:color w:val="auto"/>
        </w:rPr>
        <w:t>886.</w:t>
      </w:r>
      <w:r w:rsidR="006F3FF2" w:rsidRPr="00B26183">
        <w:rPr>
          <w:rFonts w:ascii="Tahoma" w:eastAsia="Times New Roman" w:hAnsi="Tahoma" w:cs="Tahoma"/>
          <w:b/>
          <w:bCs/>
          <w:color w:val="auto"/>
        </w:rPr>
        <w:t>oo</w:t>
      </w:r>
      <w:r w:rsidR="006F3FF2" w:rsidRPr="00CA669B">
        <w:rPr>
          <w:rFonts w:ascii="Tahoma" w:hAnsi="Tahoma" w:cs="Tahoma"/>
          <w:b/>
          <w:color w:val="auto"/>
        </w:rPr>
        <w:t>,</w:t>
      </w:r>
      <w:r w:rsidR="006F3FF2">
        <w:rPr>
          <w:rFonts w:ascii="Tahoma" w:hAnsi="Tahoma" w:cs="Tahoma"/>
          <w:b/>
          <w:color w:val="auto"/>
        </w:rPr>
        <w:t xml:space="preserve"> </w:t>
      </w:r>
      <w:r w:rsidR="006F3FF2">
        <w:rPr>
          <w:rFonts w:ascii="Tahoma" w:eastAsia="Times New Roman" w:hAnsi="Tahoma" w:cs="Tahoma"/>
          <w:bCs/>
          <w:color w:val="auto"/>
        </w:rPr>
        <w:t xml:space="preserve">y reducciones por </w:t>
      </w:r>
      <w:r w:rsidR="006F3FF2" w:rsidRPr="00B26183">
        <w:rPr>
          <w:rFonts w:ascii="Tahoma" w:eastAsia="Times New Roman" w:hAnsi="Tahoma" w:cs="Tahoma"/>
          <w:b/>
          <w:bCs/>
          <w:color w:val="auto"/>
        </w:rPr>
        <w:t>$</w:t>
      </w:r>
      <w:r w:rsidR="006F3FF2">
        <w:rPr>
          <w:rFonts w:ascii="Tahoma" w:eastAsia="Times New Roman" w:hAnsi="Tahoma" w:cs="Tahoma"/>
          <w:b/>
          <w:bCs/>
          <w:color w:val="auto"/>
        </w:rPr>
        <w:t>832.845.036</w:t>
      </w:r>
      <w:r w:rsidR="006F3FF2" w:rsidRPr="00B26183">
        <w:rPr>
          <w:rFonts w:ascii="Tahoma" w:eastAsia="Times New Roman" w:hAnsi="Tahoma" w:cs="Tahoma"/>
          <w:b/>
          <w:bCs/>
          <w:color w:val="auto"/>
        </w:rPr>
        <w:t>.oo</w:t>
      </w:r>
      <w:r w:rsidR="006F3FF2">
        <w:rPr>
          <w:rFonts w:ascii="Tahoma" w:eastAsia="Times New Roman" w:hAnsi="Tahoma" w:cs="Tahoma"/>
          <w:bCs/>
          <w:color w:val="auto"/>
        </w:rPr>
        <w:t xml:space="preserve">, para un presupuesto definitivo a Diciembre 31 de 2015 de </w:t>
      </w:r>
      <w:r w:rsidR="006F3FF2" w:rsidRPr="00B26183">
        <w:rPr>
          <w:rFonts w:ascii="Tahoma" w:eastAsia="Times New Roman" w:hAnsi="Tahoma" w:cs="Tahoma"/>
          <w:b/>
          <w:bCs/>
          <w:color w:val="auto"/>
        </w:rPr>
        <w:t>$</w:t>
      </w:r>
      <w:r w:rsidR="006F3FF2">
        <w:rPr>
          <w:rFonts w:ascii="Tahoma" w:eastAsia="Times New Roman" w:hAnsi="Tahoma" w:cs="Tahoma"/>
          <w:b/>
          <w:bCs/>
          <w:color w:val="auto"/>
        </w:rPr>
        <w:t>40.001.751.627-oo.</w:t>
      </w:r>
    </w:p>
    <w:p w:rsidR="006F3FF2" w:rsidRDefault="006F3FF2" w:rsidP="006F3FF2">
      <w:pPr>
        <w:tabs>
          <w:tab w:val="left" w:pos="2835"/>
        </w:tabs>
        <w:spacing w:before="0" w:after="0" w:line="19" w:lineRule="atLeast"/>
        <w:jc w:val="both"/>
        <w:rPr>
          <w:rFonts w:ascii="Tahoma" w:eastAsia="Times New Roman" w:hAnsi="Tahoma" w:cs="Tahoma"/>
          <w:b/>
          <w:bCs/>
          <w:color w:val="auto"/>
        </w:rPr>
      </w:pPr>
    </w:p>
    <w:p w:rsidR="006F3FF2" w:rsidRDefault="006F3FF2" w:rsidP="006F3FF2">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235"/>
        <w:gridCol w:w="2268"/>
        <w:gridCol w:w="2126"/>
        <w:gridCol w:w="2428"/>
      </w:tblGrid>
      <w:tr w:rsidR="006F3FF2" w:rsidRPr="00BA1DE4" w:rsidTr="0022517B">
        <w:trPr>
          <w:trHeight w:val="327"/>
        </w:trPr>
        <w:tc>
          <w:tcPr>
            <w:tcW w:w="2235" w:type="dxa"/>
          </w:tcPr>
          <w:p w:rsidR="006F3FF2" w:rsidRPr="00B26183" w:rsidRDefault="006F3FF2" w:rsidP="0022517B">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6F3FF2" w:rsidRPr="00B26183" w:rsidRDefault="006F3FF2" w:rsidP="0022517B">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2126" w:type="dxa"/>
          </w:tcPr>
          <w:p w:rsidR="006F3FF2" w:rsidRPr="00B26183" w:rsidRDefault="006F3FF2" w:rsidP="0022517B">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428" w:type="dxa"/>
          </w:tcPr>
          <w:p w:rsidR="006F3FF2" w:rsidRPr="00B26183" w:rsidRDefault="006F3FF2" w:rsidP="0022517B">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6F3FF2" w:rsidRPr="00BA1DE4" w:rsidTr="0022517B">
        <w:trPr>
          <w:trHeight w:val="551"/>
        </w:trPr>
        <w:tc>
          <w:tcPr>
            <w:tcW w:w="2235" w:type="dxa"/>
          </w:tcPr>
          <w:p w:rsidR="006F3FF2" w:rsidRPr="00131163" w:rsidRDefault="006F3FF2" w:rsidP="0022517B">
            <w:pPr>
              <w:tabs>
                <w:tab w:val="left" w:pos="2835"/>
              </w:tabs>
              <w:spacing w:before="0" w:line="19" w:lineRule="atLeast"/>
              <w:jc w:val="center"/>
              <w:rPr>
                <w:rFonts w:ascii="Tahoma" w:eastAsia="Times New Roman" w:hAnsi="Tahoma" w:cs="Tahoma"/>
                <w:bCs/>
                <w:color w:val="auto"/>
                <w:sz w:val="20"/>
                <w:szCs w:val="20"/>
                <w:vertAlign w:val="subscript"/>
              </w:rPr>
            </w:pPr>
            <w:r w:rsidRPr="00131163">
              <w:rPr>
                <w:rFonts w:ascii="Tahoma" w:hAnsi="Tahoma" w:cs="Tahoma"/>
                <w:color w:val="auto"/>
              </w:rPr>
              <w:t>$26.805.043.675.oo</w:t>
            </w:r>
          </w:p>
        </w:tc>
        <w:tc>
          <w:tcPr>
            <w:tcW w:w="2268" w:type="dxa"/>
          </w:tcPr>
          <w:p w:rsidR="006F3FF2" w:rsidRPr="00131163" w:rsidRDefault="006F3FF2" w:rsidP="0022517B">
            <w:pPr>
              <w:tabs>
                <w:tab w:val="left" w:pos="2835"/>
              </w:tabs>
              <w:spacing w:before="0" w:line="19" w:lineRule="atLeast"/>
              <w:jc w:val="center"/>
              <w:rPr>
                <w:rFonts w:ascii="Tahoma" w:eastAsia="Times New Roman" w:hAnsi="Tahoma" w:cs="Tahoma"/>
                <w:bCs/>
                <w:color w:val="auto"/>
                <w:sz w:val="20"/>
                <w:szCs w:val="20"/>
                <w:vertAlign w:val="subscript"/>
              </w:rPr>
            </w:pPr>
            <w:r w:rsidRPr="00131163">
              <w:rPr>
                <w:rFonts w:ascii="Tahoma" w:eastAsia="Times New Roman" w:hAnsi="Tahoma" w:cs="Tahoma"/>
                <w:bCs/>
                <w:color w:val="auto"/>
              </w:rPr>
              <w:t>$14.029.553.886</w:t>
            </w:r>
            <w:r>
              <w:rPr>
                <w:rFonts w:ascii="Tahoma" w:eastAsia="Times New Roman" w:hAnsi="Tahoma" w:cs="Tahoma"/>
                <w:bCs/>
                <w:color w:val="auto"/>
              </w:rPr>
              <w:t>.</w:t>
            </w:r>
            <w:r w:rsidRPr="00131163">
              <w:rPr>
                <w:rFonts w:ascii="Tahoma" w:eastAsia="Times New Roman" w:hAnsi="Tahoma" w:cs="Tahoma"/>
                <w:bCs/>
                <w:color w:val="auto"/>
              </w:rPr>
              <w:t>oo</w:t>
            </w:r>
          </w:p>
        </w:tc>
        <w:tc>
          <w:tcPr>
            <w:tcW w:w="2126" w:type="dxa"/>
          </w:tcPr>
          <w:p w:rsidR="006F3FF2" w:rsidRPr="00131163" w:rsidRDefault="006F3FF2" w:rsidP="0022517B">
            <w:pPr>
              <w:tabs>
                <w:tab w:val="left" w:pos="2835"/>
              </w:tabs>
              <w:spacing w:before="0" w:line="19" w:lineRule="atLeast"/>
              <w:jc w:val="center"/>
              <w:rPr>
                <w:rFonts w:ascii="Tahoma" w:eastAsia="Times New Roman" w:hAnsi="Tahoma" w:cs="Tahoma"/>
                <w:bCs/>
                <w:color w:val="auto"/>
                <w:sz w:val="20"/>
                <w:szCs w:val="20"/>
                <w:vertAlign w:val="subscript"/>
              </w:rPr>
            </w:pPr>
            <w:r w:rsidRPr="00131163">
              <w:rPr>
                <w:rFonts w:ascii="Tahoma" w:eastAsia="Times New Roman" w:hAnsi="Tahoma" w:cs="Tahoma"/>
                <w:bCs/>
                <w:color w:val="auto"/>
              </w:rPr>
              <w:t>$832.845.036.oo</w:t>
            </w:r>
          </w:p>
        </w:tc>
        <w:tc>
          <w:tcPr>
            <w:tcW w:w="2428" w:type="dxa"/>
          </w:tcPr>
          <w:p w:rsidR="006F3FF2" w:rsidRPr="00131163" w:rsidRDefault="006F3FF2" w:rsidP="0022517B">
            <w:pPr>
              <w:tabs>
                <w:tab w:val="left" w:pos="2835"/>
              </w:tabs>
              <w:spacing w:before="0" w:line="19" w:lineRule="atLeast"/>
              <w:jc w:val="center"/>
              <w:rPr>
                <w:rFonts w:ascii="Tahoma" w:eastAsia="Times New Roman" w:hAnsi="Tahoma" w:cs="Tahoma"/>
                <w:bCs/>
                <w:color w:val="auto"/>
                <w:sz w:val="20"/>
                <w:szCs w:val="20"/>
                <w:vertAlign w:val="subscript"/>
              </w:rPr>
            </w:pPr>
            <w:r w:rsidRPr="00131163">
              <w:rPr>
                <w:rFonts w:ascii="Tahoma" w:eastAsia="Times New Roman" w:hAnsi="Tahoma" w:cs="Tahoma"/>
                <w:bCs/>
                <w:color w:val="auto"/>
              </w:rPr>
              <w:t>$40.001.751.627</w:t>
            </w:r>
            <w:r>
              <w:rPr>
                <w:rFonts w:ascii="Tahoma" w:eastAsia="Times New Roman" w:hAnsi="Tahoma" w:cs="Tahoma"/>
                <w:bCs/>
                <w:color w:val="auto"/>
              </w:rPr>
              <w:t>.oo</w:t>
            </w:r>
          </w:p>
        </w:tc>
      </w:tr>
    </w:tbl>
    <w:p w:rsidR="006F3FF2" w:rsidRPr="00256F6A" w:rsidRDefault="006F3FF2" w:rsidP="006F3FF2">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9E2C78" w:rsidRDefault="009E2C78" w:rsidP="006F3FF2">
      <w:pPr>
        <w:jc w:val="both"/>
        <w:rPr>
          <w:rFonts w:ascii="Tahoma" w:hAnsi="Tahoma" w:cs="Tahoma"/>
          <w:b/>
          <w:bCs/>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El presupuesto de Gastos aprobado para la vigencia 2015 del Municipio  de</w:t>
      </w:r>
      <w:r w:rsidR="00D62647">
        <w:rPr>
          <w:rFonts w:ascii="Tahoma" w:hAnsi="Tahoma" w:cs="Tahoma"/>
          <w:color w:val="auto"/>
        </w:rPr>
        <w:t xml:space="preserve"> </w:t>
      </w:r>
      <w:r w:rsidR="006F3FF2">
        <w:rPr>
          <w:rFonts w:ascii="Tahoma" w:hAnsi="Tahoma" w:cs="Tahoma"/>
          <w:color w:val="auto"/>
        </w:rPr>
        <w:t>Líbano</w:t>
      </w:r>
      <w:r w:rsidRPr="00C32B9A">
        <w:rPr>
          <w:rFonts w:ascii="Tahoma" w:hAnsi="Tahoma" w:cs="Tahoma"/>
          <w:color w:val="auto"/>
        </w:rPr>
        <w:t>, fue de $</w:t>
      </w:r>
      <w:r w:rsidR="009E2C78">
        <w:rPr>
          <w:rFonts w:ascii="Tahoma" w:hAnsi="Tahoma" w:cs="Tahoma"/>
          <w:color w:val="auto"/>
        </w:rPr>
        <w:t>2</w:t>
      </w:r>
      <w:r w:rsidR="006F3FF2">
        <w:rPr>
          <w:rFonts w:ascii="Tahoma" w:hAnsi="Tahoma" w:cs="Tahoma"/>
          <w:color w:val="auto"/>
        </w:rPr>
        <w:t xml:space="preserve">6.805 </w:t>
      </w:r>
      <w:r w:rsidR="00881C9C">
        <w:rPr>
          <w:rFonts w:ascii="Tahoma" w:hAnsi="Tahoma" w:cs="Tahoma"/>
          <w:color w:val="auto"/>
        </w:rPr>
        <w:t>millones</w:t>
      </w:r>
      <w:r w:rsidRPr="00C32B9A">
        <w:rPr>
          <w:rFonts w:ascii="Tahoma" w:hAnsi="Tahoma" w:cs="Tahoma"/>
          <w:color w:val="auto"/>
        </w:rPr>
        <w:t>, de los cuales $</w:t>
      </w:r>
      <w:r w:rsidR="006F3FF2">
        <w:rPr>
          <w:rFonts w:ascii="Tahoma" w:hAnsi="Tahoma" w:cs="Tahoma"/>
          <w:color w:val="auto"/>
        </w:rPr>
        <w:t>3.058</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w:t>
      </w:r>
      <w:r w:rsidR="00F50500">
        <w:rPr>
          <w:rFonts w:ascii="Tahoma" w:hAnsi="Tahoma" w:cs="Tahoma"/>
          <w:color w:val="auto"/>
        </w:rPr>
        <w:t>11</w:t>
      </w:r>
      <w:r w:rsidR="006F3FF2">
        <w:rPr>
          <w:rFonts w:ascii="Tahoma" w:hAnsi="Tahoma" w:cs="Tahoma"/>
          <w:color w:val="auto"/>
        </w:rPr>
        <w:t>.32</w:t>
      </w:r>
      <w:r w:rsidR="009E2C78">
        <w:rPr>
          <w:rFonts w:ascii="Tahoma" w:hAnsi="Tahoma" w:cs="Tahoma"/>
          <w:color w:val="auto"/>
        </w:rPr>
        <w:t xml:space="preserve">% </w:t>
      </w:r>
      <w:r w:rsidRPr="00C32B9A">
        <w:rPr>
          <w:rFonts w:ascii="Tahoma" w:hAnsi="Tahoma" w:cs="Tahoma"/>
          <w:color w:val="auto"/>
        </w:rPr>
        <w:t>y Gastos de Inversión</w:t>
      </w:r>
      <w:r w:rsidR="00D62647">
        <w:rPr>
          <w:rFonts w:ascii="Tahoma" w:hAnsi="Tahoma" w:cs="Tahoma"/>
          <w:color w:val="auto"/>
        </w:rPr>
        <w:t xml:space="preserve"> $</w:t>
      </w:r>
      <w:r w:rsidR="00F96930">
        <w:rPr>
          <w:rFonts w:ascii="Tahoma" w:hAnsi="Tahoma" w:cs="Tahoma"/>
          <w:color w:val="auto"/>
        </w:rPr>
        <w:t>2</w:t>
      </w:r>
      <w:r w:rsidR="006F3FF2">
        <w:rPr>
          <w:rFonts w:ascii="Tahoma" w:hAnsi="Tahoma" w:cs="Tahoma"/>
          <w:color w:val="auto"/>
        </w:rPr>
        <w:t>3.955</w:t>
      </w:r>
      <w:r w:rsidR="000344EC">
        <w:rPr>
          <w:rFonts w:ascii="Tahoma" w:hAnsi="Tahoma" w:cs="Tahoma"/>
          <w:color w:val="auto"/>
        </w:rPr>
        <w:t xml:space="preserve"> millones</w:t>
      </w:r>
      <w:r w:rsidR="00D62647">
        <w:rPr>
          <w:rFonts w:ascii="Tahoma" w:hAnsi="Tahoma" w:cs="Tahoma"/>
          <w:color w:val="auto"/>
        </w:rPr>
        <w:t xml:space="preserve"> con un </w:t>
      </w:r>
      <w:r w:rsidR="00A24C85">
        <w:rPr>
          <w:rFonts w:ascii="Tahoma" w:hAnsi="Tahoma" w:cs="Tahoma"/>
          <w:color w:val="auto"/>
        </w:rPr>
        <w:t>8</w:t>
      </w:r>
      <w:r w:rsidR="006F3FF2">
        <w:rPr>
          <w:rFonts w:ascii="Tahoma" w:hAnsi="Tahoma" w:cs="Tahoma"/>
          <w:color w:val="auto"/>
        </w:rPr>
        <w:t>8</w:t>
      </w:r>
      <w:r w:rsidR="00F96930">
        <w:rPr>
          <w:rFonts w:ascii="Tahoma" w:hAnsi="Tahoma" w:cs="Tahoma"/>
          <w:color w:val="auto"/>
        </w:rPr>
        <w:t>.6</w:t>
      </w:r>
      <w:r w:rsidR="006F3FF2">
        <w:rPr>
          <w:rFonts w:ascii="Tahoma" w:hAnsi="Tahoma" w:cs="Tahoma"/>
          <w:color w:val="auto"/>
        </w:rPr>
        <w:t>8</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6948C5" w:rsidRDefault="006948C5" w:rsidP="00C32B9A">
      <w:pPr>
        <w:spacing w:before="0" w:after="0"/>
        <w:jc w:val="both"/>
        <w:rPr>
          <w:rFonts w:ascii="Tahoma" w:hAnsi="Tahoma" w:cs="Tahoma"/>
          <w:color w:val="auto"/>
        </w:rPr>
      </w:pPr>
    </w:p>
    <w:p w:rsidR="006948C5" w:rsidRPr="00C32B9A" w:rsidRDefault="006948C5" w:rsidP="00C32B9A">
      <w:pPr>
        <w:spacing w:before="0" w:after="0"/>
        <w:jc w:val="both"/>
        <w:rPr>
          <w:rFonts w:ascii="Tahoma" w:hAnsi="Tahoma" w:cs="Tahoma"/>
          <w:color w:val="auto"/>
        </w:rPr>
      </w:pPr>
      <w:r>
        <w:rPr>
          <w:rFonts w:ascii="Tahoma" w:hAnsi="Tahoma" w:cs="Tahoma"/>
          <w:noProof/>
          <w:color w:val="auto"/>
        </w:rPr>
        <w:drawing>
          <wp:inline distT="0" distB="0" distL="0" distR="0" wp14:anchorId="2408FF4E" wp14:editId="08371CB2">
            <wp:extent cx="5486400" cy="2815200"/>
            <wp:effectExtent l="0" t="0" r="0" b="444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948C5" w:rsidRDefault="00C32B9A" w:rsidP="00C32B9A">
      <w:pPr>
        <w:spacing w:before="0" w:after="0"/>
        <w:jc w:val="both"/>
        <w:rPr>
          <w:rFonts w:ascii="Tahoma" w:hAnsi="Tahoma" w:cs="Tahoma"/>
          <w:color w:val="auto"/>
        </w:rPr>
      </w:pPr>
      <w:r>
        <w:rPr>
          <w:rFonts w:ascii="Tahoma" w:hAnsi="Tahoma" w:cs="Tahoma"/>
          <w:color w:val="auto"/>
        </w:rPr>
        <w:t xml:space="preserve"> </w:t>
      </w:r>
    </w:p>
    <w:p w:rsidR="0056750E" w:rsidRDefault="00595DA7" w:rsidP="0056750E">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w:t>
      </w:r>
      <w:r w:rsidR="00D91B45">
        <w:rPr>
          <w:rFonts w:ascii="Tahoma" w:hAnsi="Tahoma" w:cs="Tahoma"/>
          <w:color w:val="auto"/>
        </w:rPr>
        <w:t>Gastos de</w:t>
      </w:r>
      <w:r w:rsidR="005325B4">
        <w:rPr>
          <w:rFonts w:ascii="Tahoma" w:hAnsi="Tahoma" w:cs="Tahoma"/>
          <w:color w:val="auto"/>
        </w:rPr>
        <w:t xml:space="preserve"> Personal</w:t>
      </w:r>
      <w:r w:rsidR="00815CEE">
        <w:rPr>
          <w:rFonts w:ascii="Tahoma" w:hAnsi="Tahoma" w:cs="Tahoma"/>
          <w:color w:val="auto"/>
        </w:rPr>
        <w:t xml:space="preserve"> con $</w:t>
      </w:r>
      <w:r w:rsidR="00D91B45">
        <w:rPr>
          <w:rFonts w:ascii="Tahoma" w:hAnsi="Tahoma" w:cs="Tahoma"/>
          <w:color w:val="auto"/>
        </w:rPr>
        <w:t>1.475</w:t>
      </w:r>
      <w:r w:rsidR="00BD16BE">
        <w:rPr>
          <w:rFonts w:ascii="Tahoma" w:hAnsi="Tahoma" w:cs="Tahoma"/>
          <w:color w:val="auto"/>
        </w:rPr>
        <w:t xml:space="preserve"> </w:t>
      </w:r>
      <w:r w:rsidR="00881C9C">
        <w:rPr>
          <w:rFonts w:ascii="Tahoma" w:hAnsi="Tahoma" w:cs="Tahoma"/>
          <w:color w:val="auto"/>
        </w:rPr>
        <w:t>millones</w:t>
      </w:r>
      <w:r w:rsidR="00815CEE">
        <w:rPr>
          <w:rFonts w:ascii="Tahoma" w:hAnsi="Tahoma" w:cs="Tahoma"/>
          <w:color w:val="auto"/>
        </w:rPr>
        <w:t xml:space="preserve">, </w:t>
      </w:r>
      <w:r w:rsidR="00BD16BE">
        <w:rPr>
          <w:rFonts w:ascii="Tahoma" w:hAnsi="Tahoma" w:cs="Tahoma"/>
          <w:color w:val="auto"/>
        </w:rPr>
        <w:t>T</w:t>
      </w:r>
      <w:r w:rsidR="00BE515D">
        <w:rPr>
          <w:rFonts w:ascii="Tahoma" w:hAnsi="Tahoma" w:cs="Tahoma"/>
          <w:color w:val="auto"/>
        </w:rPr>
        <w:t>ransferencias</w:t>
      </w:r>
      <w:r w:rsidR="00815CEE" w:rsidRPr="003539AE">
        <w:rPr>
          <w:rFonts w:ascii="Tahoma" w:hAnsi="Tahoma" w:cs="Tahoma"/>
          <w:color w:val="auto"/>
        </w:rPr>
        <w:t xml:space="preserve"> $</w:t>
      </w:r>
      <w:r w:rsidR="005C0BE3">
        <w:rPr>
          <w:rFonts w:ascii="Tahoma" w:hAnsi="Tahoma" w:cs="Tahoma"/>
          <w:color w:val="auto"/>
        </w:rPr>
        <w:t>1.</w:t>
      </w:r>
      <w:r w:rsidR="00D91B45">
        <w:rPr>
          <w:rFonts w:ascii="Tahoma" w:hAnsi="Tahoma" w:cs="Tahoma"/>
          <w:color w:val="auto"/>
        </w:rPr>
        <w:t>113</w:t>
      </w:r>
      <w:r w:rsidR="00881C9C" w:rsidRPr="003539AE">
        <w:rPr>
          <w:rFonts w:ascii="Tahoma" w:hAnsi="Tahoma" w:cs="Tahoma"/>
          <w:color w:val="auto"/>
        </w:rPr>
        <w:t xml:space="preserve"> millones</w:t>
      </w:r>
      <w:r w:rsidR="00BD16BE">
        <w:rPr>
          <w:rFonts w:ascii="Tahoma" w:hAnsi="Tahoma" w:cs="Tahoma"/>
          <w:color w:val="auto"/>
        </w:rPr>
        <w:t xml:space="preserve">  y </w:t>
      </w:r>
      <w:r w:rsidR="005325B4" w:rsidRPr="003539AE">
        <w:rPr>
          <w:rFonts w:ascii="Tahoma" w:hAnsi="Tahoma" w:cs="Tahoma"/>
          <w:color w:val="auto"/>
        </w:rPr>
        <w:t>Gastos Generales</w:t>
      </w:r>
      <w:r w:rsidR="00881C9C" w:rsidRPr="003539AE">
        <w:rPr>
          <w:rFonts w:ascii="Tahoma" w:hAnsi="Tahoma" w:cs="Tahoma"/>
          <w:color w:val="auto"/>
        </w:rPr>
        <w:t xml:space="preserve"> $</w:t>
      </w:r>
      <w:r w:rsidR="00D91B45">
        <w:rPr>
          <w:rFonts w:ascii="Tahoma" w:hAnsi="Tahoma" w:cs="Tahoma"/>
          <w:color w:val="auto"/>
        </w:rPr>
        <w:t>187</w:t>
      </w:r>
      <w:r w:rsidR="00881C9C" w:rsidRPr="003539AE">
        <w:rPr>
          <w:rFonts w:ascii="Tahoma" w:hAnsi="Tahoma" w:cs="Tahoma"/>
          <w:color w:val="auto"/>
        </w:rPr>
        <w:t xml:space="preserve"> millones</w:t>
      </w:r>
      <w:r w:rsidR="0056750E">
        <w:rPr>
          <w:rFonts w:ascii="Tahoma" w:hAnsi="Tahoma" w:cs="Tahoma"/>
          <w:color w:val="auto"/>
        </w:rPr>
        <w:t>.</w:t>
      </w:r>
    </w:p>
    <w:p w:rsidR="00B5293B" w:rsidRDefault="00B5293B" w:rsidP="0056750E">
      <w:pPr>
        <w:spacing w:before="0" w:after="0"/>
        <w:jc w:val="both"/>
        <w:rPr>
          <w:rFonts w:ascii="Tahoma" w:hAnsi="Tahoma" w:cs="Tahoma"/>
          <w:color w:val="auto"/>
        </w:rPr>
      </w:pPr>
    </w:p>
    <w:p w:rsidR="00EE108B" w:rsidRDefault="00595DA7" w:rsidP="00595DA7">
      <w:pPr>
        <w:spacing w:before="0" w:after="0"/>
        <w:jc w:val="both"/>
        <w:rPr>
          <w:rFonts w:ascii="Tahoma" w:hAnsi="Tahoma" w:cs="Tahoma"/>
          <w:color w:val="auto"/>
        </w:rPr>
      </w:pPr>
      <w:r w:rsidRPr="00E255C8">
        <w:rPr>
          <w:rFonts w:ascii="Tahoma" w:hAnsi="Tahoma" w:cs="Tahoma"/>
          <w:b/>
          <w:color w:val="auto"/>
        </w:rPr>
        <w:lastRenderedPageBreak/>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690E68">
        <w:rPr>
          <w:rFonts w:ascii="Tahoma" w:hAnsi="Tahoma" w:cs="Tahoma"/>
          <w:color w:val="auto"/>
        </w:rPr>
        <w:t xml:space="preserve">Sector </w:t>
      </w:r>
      <w:r w:rsidR="005C0BE3">
        <w:rPr>
          <w:rFonts w:ascii="Tahoma" w:hAnsi="Tahoma" w:cs="Tahoma"/>
          <w:color w:val="auto"/>
        </w:rPr>
        <w:t xml:space="preserve">Educación </w:t>
      </w:r>
      <w:r w:rsidR="008E2FC3">
        <w:rPr>
          <w:rFonts w:ascii="Tahoma" w:hAnsi="Tahoma" w:cs="Tahoma"/>
          <w:color w:val="auto"/>
        </w:rPr>
        <w:t>7.03</w:t>
      </w:r>
      <w:r w:rsidR="005C0BE3">
        <w:rPr>
          <w:rFonts w:ascii="Tahoma" w:hAnsi="Tahoma" w:cs="Tahoma"/>
          <w:color w:val="auto"/>
        </w:rPr>
        <w:t xml:space="preserve">%, </w:t>
      </w:r>
      <w:r w:rsidR="008E2FC3">
        <w:rPr>
          <w:rFonts w:ascii="Tahoma" w:hAnsi="Tahoma" w:cs="Tahoma"/>
          <w:color w:val="auto"/>
        </w:rPr>
        <w:t xml:space="preserve">Sector salud 70.23%, </w:t>
      </w:r>
      <w:r w:rsidR="003522CA">
        <w:rPr>
          <w:rFonts w:ascii="Tahoma" w:hAnsi="Tahoma" w:cs="Tahoma"/>
          <w:color w:val="auto"/>
        </w:rPr>
        <w:t>Agua Potable y saneamient</w:t>
      </w:r>
      <w:r w:rsidR="008C10F9">
        <w:rPr>
          <w:rFonts w:ascii="Tahoma" w:hAnsi="Tahoma" w:cs="Tahoma"/>
          <w:color w:val="auto"/>
        </w:rPr>
        <w:t xml:space="preserve">o básico </w:t>
      </w:r>
      <w:r w:rsidR="003522CA">
        <w:rPr>
          <w:rFonts w:ascii="Tahoma" w:hAnsi="Tahoma" w:cs="Tahoma"/>
          <w:color w:val="auto"/>
        </w:rPr>
        <w:t>5.32</w:t>
      </w:r>
      <w:r w:rsidR="008C10F9">
        <w:rPr>
          <w:rFonts w:ascii="Tahoma" w:hAnsi="Tahoma" w:cs="Tahoma"/>
          <w:color w:val="auto"/>
        </w:rPr>
        <w:t xml:space="preserve">%, </w:t>
      </w:r>
      <w:r w:rsidR="005C0BE3">
        <w:rPr>
          <w:rFonts w:ascii="Tahoma" w:hAnsi="Tahoma" w:cs="Tahoma"/>
          <w:color w:val="auto"/>
        </w:rPr>
        <w:t xml:space="preserve">Sector </w:t>
      </w:r>
      <w:r w:rsidR="003522CA">
        <w:rPr>
          <w:rFonts w:ascii="Tahoma" w:hAnsi="Tahoma" w:cs="Tahoma"/>
          <w:color w:val="auto"/>
        </w:rPr>
        <w:t>Deporte</w:t>
      </w:r>
      <w:r w:rsidR="005C0BE3">
        <w:rPr>
          <w:rFonts w:ascii="Tahoma" w:hAnsi="Tahoma" w:cs="Tahoma"/>
          <w:color w:val="auto"/>
        </w:rPr>
        <w:t xml:space="preserve"> </w:t>
      </w:r>
      <w:r w:rsidR="003522CA">
        <w:rPr>
          <w:rFonts w:ascii="Tahoma" w:hAnsi="Tahoma" w:cs="Tahoma"/>
          <w:color w:val="auto"/>
        </w:rPr>
        <w:t>4.65%</w:t>
      </w:r>
      <w:r w:rsidR="00D93D19">
        <w:rPr>
          <w:rFonts w:ascii="Tahoma" w:hAnsi="Tahoma" w:cs="Tahoma"/>
          <w:color w:val="auto"/>
        </w:rPr>
        <w:t xml:space="preserve"> </w:t>
      </w:r>
      <w:r w:rsidR="00EE108B">
        <w:rPr>
          <w:rFonts w:ascii="Tahoma" w:hAnsi="Tahoma" w:cs="Tahoma"/>
          <w:color w:val="auto"/>
        </w:rPr>
        <w:t xml:space="preserve">y otros sectores </w:t>
      </w:r>
      <w:r w:rsidR="003522CA">
        <w:rPr>
          <w:rFonts w:ascii="Tahoma" w:hAnsi="Tahoma" w:cs="Tahoma"/>
          <w:color w:val="auto"/>
        </w:rPr>
        <w:t>12.77</w:t>
      </w:r>
      <w:r w:rsidR="00EE108B">
        <w:rPr>
          <w:rFonts w:ascii="Tahoma" w:hAnsi="Tahoma" w:cs="Tahoma"/>
          <w:color w:val="auto"/>
        </w:rPr>
        <w:t>%</w:t>
      </w:r>
      <w:r w:rsidR="005C0BE3">
        <w:rPr>
          <w:rFonts w:ascii="Tahoma" w:hAnsi="Tahoma" w:cs="Tahoma"/>
          <w:color w:val="auto"/>
        </w:rPr>
        <w:t>.</w:t>
      </w:r>
    </w:p>
    <w:p w:rsidR="00EE108B" w:rsidRDefault="00EE108B" w:rsidP="00595DA7">
      <w:pPr>
        <w:spacing w:before="0" w:after="0"/>
        <w:jc w:val="both"/>
        <w:rPr>
          <w:rFonts w:ascii="Tahoma" w:hAnsi="Tahoma" w:cs="Tahoma"/>
          <w:color w:val="auto"/>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w:t>
      </w:r>
      <w:r w:rsidR="00FF75CA">
        <w:rPr>
          <w:rFonts w:ascii="Tahoma" w:hAnsi="Tahoma" w:cs="Tahoma"/>
          <w:szCs w:val="24"/>
        </w:rPr>
        <w:t>Líbano</w:t>
      </w:r>
      <w:r w:rsidR="0000440B">
        <w:rPr>
          <w:rFonts w:ascii="Tahoma" w:hAnsi="Tahoma" w:cs="Tahoma"/>
          <w:szCs w:val="24"/>
        </w:rPr>
        <w:t xml:space="preserve"> </w:t>
      </w:r>
      <w:r>
        <w:rPr>
          <w:rFonts w:ascii="Tahoma" w:hAnsi="Tahoma" w:cs="Tahoma"/>
          <w:szCs w:val="24"/>
        </w:rPr>
        <w:t xml:space="preserve">de </w:t>
      </w:r>
      <w:r w:rsidR="00595DA7">
        <w:rPr>
          <w:rFonts w:ascii="Tahoma" w:hAnsi="Tahoma" w:cs="Tahoma"/>
          <w:szCs w:val="24"/>
        </w:rPr>
        <w:t>la vigencia 2015, presentó Adiciones pres</w:t>
      </w:r>
      <w:r w:rsidR="0096177F">
        <w:rPr>
          <w:rFonts w:ascii="Tahoma" w:hAnsi="Tahoma" w:cs="Tahoma"/>
          <w:szCs w:val="24"/>
        </w:rPr>
        <w:t>upuestales en la suma de $</w:t>
      </w:r>
      <w:r w:rsidR="00C15B2D">
        <w:rPr>
          <w:rFonts w:ascii="Tahoma" w:hAnsi="Tahoma" w:cs="Tahoma"/>
          <w:szCs w:val="24"/>
        </w:rPr>
        <w:t>14.031</w:t>
      </w:r>
      <w:r w:rsidR="0000440B">
        <w:rPr>
          <w:rFonts w:ascii="Tahoma" w:hAnsi="Tahoma" w:cs="Tahoma"/>
          <w:szCs w:val="24"/>
        </w:rPr>
        <w:t xml:space="preserve"> </w:t>
      </w:r>
      <w:r w:rsidR="00264A57">
        <w:rPr>
          <w:rFonts w:ascii="Tahoma" w:hAnsi="Tahoma" w:cs="Tahoma"/>
          <w:szCs w:val="24"/>
        </w:rPr>
        <w:t>millones</w:t>
      </w:r>
      <w:r w:rsidR="00570EEE">
        <w:rPr>
          <w:rFonts w:ascii="Tahoma" w:hAnsi="Tahoma" w:cs="Tahoma"/>
          <w:szCs w:val="24"/>
        </w:rPr>
        <w:t xml:space="preserve">, </w:t>
      </w:r>
      <w:r w:rsidR="00595DA7">
        <w:rPr>
          <w:rFonts w:ascii="Tahoma" w:hAnsi="Tahoma" w:cs="Tahoma"/>
          <w:szCs w:val="24"/>
        </w:rPr>
        <w:t>reducciones en la suma de $</w:t>
      </w:r>
      <w:r w:rsidR="0096177F">
        <w:rPr>
          <w:rFonts w:ascii="Tahoma" w:hAnsi="Tahoma" w:cs="Tahoma"/>
          <w:szCs w:val="24"/>
        </w:rPr>
        <w:t>1.</w:t>
      </w:r>
      <w:r w:rsidR="00C15B2D">
        <w:rPr>
          <w:rFonts w:ascii="Tahoma" w:hAnsi="Tahoma" w:cs="Tahoma"/>
          <w:szCs w:val="24"/>
        </w:rPr>
        <w:t>043</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w:t>
      </w:r>
      <w:r w:rsidR="00C15B2D">
        <w:rPr>
          <w:rFonts w:ascii="Tahoma" w:hAnsi="Tahoma" w:cs="Tahoma"/>
          <w:szCs w:val="24"/>
        </w:rPr>
        <w:t>2.512</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C15B2D">
        <w:rPr>
          <w:rFonts w:ascii="Tahoma" w:hAnsi="Tahoma" w:cs="Tahoma"/>
          <w:szCs w:val="24"/>
        </w:rPr>
        <w:t>40.001</w:t>
      </w:r>
      <w:r w:rsidR="00231648">
        <w:rPr>
          <w:rFonts w:ascii="Tahoma" w:hAnsi="Tahoma" w:cs="Tahoma"/>
          <w:szCs w:val="24"/>
        </w:rPr>
        <w:t xml:space="preserve"> </w:t>
      </w:r>
      <w:r w:rsidR="00264A57">
        <w:rPr>
          <w:rFonts w:ascii="Tahoma" w:hAnsi="Tahoma" w:cs="Tahoma"/>
          <w:szCs w:val="24"/>
        </w:rPr>
        <w:t>millones.</w:t>
      </w:r>
    </w:p>
    <w:p w:rsidR="00264A57" w:rsidRDefault="00264A57" w:rsidP="00595DA7">
      <w:pPr>
        <w:tabs>
          <w:tab w:val="left" w:pos="5696"/>
        </w:tabs>
        <w:spacing w:before="0" w:after="0"/>
        <w:jc w:val="both"/>
        <w:rPr>
          <w:rFonts w:ascii="Tahoma" w:hAnsi="Tahoma" w:cs="Tahoma"/>
          <w:szCs w:val="24"/>
        </w:rPr>
      </w:pP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3138C">
        <w:rPr>
          <w:rFonts w:ascii="Tahoma" w:hAnsi="Tahoma" w:cs="Tahoma"/>
          <w:b/>
          <w:szCs w:val="24"/>
        </w:rPr>
        <w:t xml:space="preserve"> E INVERSION</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F3367B">
        <w:rPr>
          <w:rFonts w:ascii="Tahoma" w:hAnsi="Tahoma" w:cs="Tahoma"/>
          <w:szCs w:val="24"/>
        </w:rPr>
        <w:t xml:space="preserve">19.66%, es </w:t>
      </w:r>
      <w:r>
        <w:rPr>
          <w:rFonts w:ascii="Tahoma" w:hAnsi="Tahoma" w:cs="Tahoma"/>
          <w:szCs w:val="24"/>
        </w:rPr>
        <w:t>decir la suma de $</w:t>
      </w:r>
      <w:r w:rsidR="00B4004C">
        <w:rPr>
          <w:rFonts w:ascii="Tahoma" w:hAnsi="Tahoma" w:cs="Tahoma"/>
          <w:szCs w:val="24"/>
        </w:rPr>
        <w:t>601</w:t>
      </w:r>
      <w:r w:rsidR="00264A57">
        <w:rPr>
          <w:rFonts w:ascii="Tahoma" w:hAnsi="Tahoma" w:cs="Tahoma"/>
          <w:szCs w:val="24"/>
        </w:rPr>
        <w:t xml:space="preserve"> millones</w:t>
      </w:r>
      <w:r>
        <w:rPr>
          <w:rFonts w:ascii="Tahoma" w:hAnsi="Tahoma" w:cs="Tahoma"/>
          <w:szCs w:val="24"/>
        </w:rPr>
        <w:t xml:space="preserve"> y los gastos de Inversión en un </w:t>
      </w:r>
      <w:r w:rsidR="00B4004C">
        <w:rPr>
          <w:rFonts w:ascii="Tahoma" w:hAnsi="Tahoma" w:cs="Tahoma"/>
          <w:szCs w:val="24"/>
        </w:rPr>
        <w:t>95.72</w:t>
      </w:r>
      <w:r w:rsidR="002B6D05">
        <w:rPr>
          <w:rFonts w:ascii="Tahoma" w:hAnsi="Tahoma" w:cs="Tahoma"/>
          <w:szCs w:val="24"/>
        </w:rPr>
        <w:t>%</w:t>
      </w:r>
      <w:r>
        <w:rPr>
          <w:rFonts w:ascii="Tahoma" w:hAnsi="Tahoma" w:cs="Tahoma"/>
          <w:szCs w:val="24"/>
        </w:rPr>
        <w:t>, equivalentes a $</w:t>
      </w:r>
      <w:r w:rsidR="00B4004C">
        <w:rPr>
          <w:rFonts w:ascii="Tahoma" w:hAnsi="Tahoma" w:cs="Tahoma"/>
          <w:szCs w:val="24"/>
        </w:rPr>
        <w:t>13.430</w:t>
      </w:r>
      <w:r w:rsidR="002B6D05">
        <w:rPr>
          <w:rFonts w:ascii="Tahoma" w:hAnsi="Tahoma" w:cs="Tahoma"/>
          <w:szCs w:val="24"/>
        </w:rPr>
        <w:t xml:space="preserve"> </w:t>
      </w:r>
      <w:r w:rsidR="00264A57">
        <w:rPr>
          <w:rFonts w:ascii="Tahoma" w:hAnsi="Tahoma" w:cs="Tahoma"/>
          <w:szCs w:val="24"/>
        </w:rPr>
        <w:t>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A42EC" w:rsidRDefault="00EA42EC" w:rsidP="00595DA7">
      <w:pPr>
        <w:tabs>
          <w:tab w:val="left" w:pos="5696"/>
        </w:tabs>
        <w:spacing w:before="0" w:after="0"/>
        <w:jc w:val="both"/>
        <w:rPr>
          <w:rFonts w:ascii="Tahoma" w:hAnsi="Tahoma" w:cs="Tahoma"/>
          <w:szCs w:val="24"/>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B03114"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sidR="00B03114">
        <w:rPr>
          <w:rFonts w:ascii="Tahoma" w:hAnsi="Tahoma" w:cs="Tahoma"/>
          <w:color w:val="auto"/>
          <w:szCs w:val="16"/>
        </w:rPr>
        <w:t>:</w:t>
      </w:r>
      <w:r w:rsidR="005753DA">
        <w:rPr>
          <w:rFonts w:ascii="Tahoma" w:hAnsi="Tahoma" w:cs="Tahoma"/>
          <w:color w:val="auto"/>
          <w:szCs w:val="16"/>
        </w:rPr>
        <w:t xml:space="preserve"> Sector Educación $1.534 millones, Salud $3.501 millones,  Agua Potable 755 millones, Deporte $5.516 millones, Cultura $141 millones.</w:t>
      </w:r>
    </w:p>
    <w:p w:rsidR="00FE1ACA" w:rsidRDefault="00FE1ACA" w:rsidP="00B92753">
      <w:pPr>
        <w:spacing w:before="0" w:after="0"/>
        <w:jc w:val="center"/>
        <w:rPr>
          <w:noProof/>
          <w:lang w:val="es-ES" w:eastAsia="es-ES"/>
        </w:rPr>
      </w:pPr>
    </w:p>
    <w:p w:rsidR="00FE1ACA" w:rsidRDefault="00FE1ACA" w:rsidP="00B92753">
      <w:pPr>
        <w:spacing w:before="0" w:after="0"/>
        <w:jc w:val="center"/>
        <w:rPr>
          <w:noProof/>
          <w:lang w:val="es-ES" w:eastAsia="es-ES"/>
        </w:rPr>
      </w:pPr>
      <w:r>
        <w:rPr>
          <w:noProof/>
        </w:rPr>
        <w:drawing>
          <wp:inline distT="0" distB="0" distL="0" distR="0" wp14:anchorId="576F2A03" wp14:editId="5EABAA34">
            <wp:extent cx="4945380" cy="2796540"/>
            <wp:effectExtent l="0" t="0" r="26670" b="2286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E1ACA" w:rsidRDefault="00FE1ACA"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524E1D" w:rsidRDefault="00E111B6" w:rsidP="001D6862">
      <w:pPr>
        <w:spacing w:before="0" w:after="0"/>
        <w:rPr>
          <w:rFonts w:ascii="Tahoma" w:hAnsi="Tahoma" w:cs="Tahoma"/>
          <w:b/>
          <w:szCs w:val="24"/>
        </w:rPr>
      </w:pPr>
      <w:r>
        <w:rPr>
          <w:rFonts w:ascii="Tahoma" w:hAnsi="Tahoma" w:cs="Tahoma"/>
          <w:b/>
          <w:szCs w:val="24"/>
        </w:rPr>
        <w:lastRenderedPageBreak/>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133B74">
        <w:rPr>
          <w:rFonts w:ascii="Tahoma" w:hAnsi="Tahoma" w:cs="Tahoma"/>
          <w:color w:val="auto"/>
        </w:rPr>
        <w:t>Líbano</w:t>
      </w:r>
      <w:r w:rsidR="003C2C8D">
        <w:rPr>
          <w:rFonts w:ascii="Tahoma" w:hAnsi="Tahoma" w:cs="Tahoma"/>
          <w:szCs w:val="24"/>
        </w:rPr>
        <w:t xml:space="preserve"> </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864DF0">
        <w:rPr>
          <w:rFonts w:ascii="Tahoma" w:hAnsi="Tahoma" w:cs="Tahoma"/>
          <w:color w:val="auto"/>
        </w:rPr>
        <w:t>3</w:t>
      </w:r>
      <w:r w:rsidR="00607306">
        <w:rPr>
          <w:rFonts w:ascii="Tahoma" w:hAnsi="Tahoma" w:cs="Tahoma"/>
          <w:color w:val="auto"/>
        </w:rPr>
        <w:t>7.101</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F82FBA">
        <w:rPr>
          <w:rFonts w:ascii="Tahoma" w:hAnsi="Tahoma" w:cs="Tahoma"/>
          <w:bCs/>
          <w:color w:val="auto"/>
        </w:rPr>
        <w:t>3.</w:t>
      </w:r>
      <w:r w:rsidR="00607306">
        <w:rPr>
          <w:rFonts w:ascii="Tahoma" w:hAnsi="Tahoma" w:cs="Tahoma"/>
          <w:bCs/>
          <w:color w:val="auto"/>
        </w:rPr>
        <w:t>471</w:t>
      </w:r>
      <w:r w:rsidR="00264A57">
        <w:rPr>
          <w:rFonts w:ascii="Tahoma" w:hAnsi="Tahoma" w:cs="Tahoma"/>
          <w:bCs/>
          <w:color w:val="auto"/>
        </w:rPr>
        <w:t xml:space="preserve"> millones</w:t>
      </w:r>
      <w:r w:rsidR="00607306">
        <w:rPr>
          <w:rFonts w:ascii="Tahoma" w:hAnsi="Tahoma" w:cs="Tahoma"/>
          <w:bCs/>
          <w:color w:val="auto"/>
        </w:rPr>
        <w:t xml:space="preserve"> </w:t>
      </w:r>
      <w:r w:rsidR="00F82FBA">
        <w:rPr>
          <w:rFonts w:ascii="Tahoma" w:hAnsi="Tahoma" w:cs="Tahoma"/>
          <w:bCs/>
          <w:color w:val="auto"/>
        </w:rPr>
        <w:t>e</w:t>
      </w:r>
      <w:r w:rsidR="00EA458B">
        <w:rPr>
          <w:rFonts w:ascii="Tahoma" w:hAnsi="Tahoma" w:cs="Tahoma"/>
          <w:bCs/>
          <w:color w:val="auto"/>
        </w:rPr>
        <w:t xml:space="preserve"> </w:t>
      </w:r>
      <w:r w:rsidRPr="00B65E8C">
        <w:rPr>
          <w:rFonts w:ascii="Tahoma" w:hAnsi="Tahoma" w:cs="Tahoma"/>
          <w:bCs/>
          <w:color w:val="auto"/>
        </w:rPr>
        <w:t xml:space="preserve"> Inversión </w:t>
      </w:r>
      <w:r w:rsidR="009C7A81">
        <w:rPr>
          <w:rFonts w:ascii="Tahoma" w:hAnsi="Tahoma" w:cs="Tahoma"/>
          <w:bCs/>
          <w:color w:val="auto"/>
        </w:rPr>
        <w:t xml:space="preserve">en la suma </w:t>
      </w:r>
      <w:r w:rsidRPr="00B65E8C">
        <w:rPr>
          <w:rFonts w:ascii="Tahoma" w:hAnsi="Tahoma" w:cs="Tahoma"/>
          <w:bCs/>
          <w:color w:val="auto"/>
        </w:rPr>
        <w:t>de $</w:t>
      </w:r>
      <w:r w:rsidR="00607306">
        <w:rPr>
          <w:rFonts w:ascii="Tahoma" w:hAnsi="Tahoma" w:cs="Tahoma"/>
          <w:bCs/>
          <w:color w:val="auto"/>
        </w:rPr>
        <w:t>33.629</w:t>
      </w:r>
      <w:r w:rsidR="00264A57">
        <w:rPr>
          <w:rFonts w:ascii="Tahoma" w:hAnsi="Tahoma" w:cs="Tahoma"/>
          <w:bCs/>
          <w:color w:val="auto"/>
        </w:rPr>
        <w:t xml:space="preserve"> millones</w:t>
      </w:r>
      <w:r w:rsidR="00F82FBA">
        <w:rPr>
          <w:rFonts w:ascii="Tahoma" w:hAnsi="Tahoma" w:cs="Tahoma"/>
          <w:bCs/>
          <w:color w:val="auto"/>
        </w:rPr>
        <w:t>.</w:t>
      </w:r>
      <w:r w:rsidR="00C01693">
        <w:rPr>
          <w:rFonts w:ascii="Tahoma" w:hAnsi="Tahoma" w:cs="Tahoma"/>
          <w:bCs/>
          <w:color w:val="auto"/>
        </w:rPr>
        <w:t xml:space="preserve">  </w:t>
      </w:r>
      <w:r w:rsidR="003A4812">
        <w:rPr>
          <w:rFonts w:ascii="Tahoma" w:hAnsi="Tahoma" w:cs="Tahoma"/>
          <w:bCs/>
          <w:color w:val="auto"/>
        </w:rPr>
        <w:t>V</w:t>
      </w:r>
      <w:r w:rsidR="004F38FE">
        <w:rPr>
          <w:rFonts w:ascii="Tahoma" w:hAnsi="Tahoma" w:cs="Tahoma"/>
          <w:bCs/>
          <w:color w:val="auto"/>
        </w:rPr>
        <w:t>er tabla.</w:t>
      </w:r>
    </w:p>
    <w:p w:rsidR="008956AB" w:rsidRDefault="008956AB" w:rsidP="00C01693">
      <w:pPr>
        <w:spacing w:before="0" w:after="0"/>
        <w:jc w:val="both"/>
        <w:rPr>
          <w:rFonts w:ascii="Tahoma" w:hAnsi="Tahoma" w:cs="Tahoma"/>
          <w:bCs/>
          <w:color w:val="auto"/>
        </w:rPr>
      </w:pPr>
    </w:p>
    <w:p w:rsidR="004F38FE" w:rsidRDefault="00FF5C98" w:rsidP="008C11BF">
      <w:pPr>
        <w:spacing w:before="0" w:after="0"/>
        <w:jc w:val="center"/>
        <w:rPr>
          <w:rFonts w:ascii="Tahoma" w:hAnsi="Tahoma" w:cs="Tahoma"/>
          <w:bCs/>
          <w:color w:val="auto"/>
        </w:rPr>
      </w:pPr>
      <w:r w:rsidRPr="00FF5C98">
        <w:rPr>
          <w:noProof/>
        </w:rPr>
        <w:drawing>
          <wp:inline distT="0" distB="0" distL="0" distR="0" wp14:anchorId="674B7F30" wp14:editId="565B41AF">
            <wp:extent cx="5612130" cy="1685925"/>
            <wp:effectExtent l="0" t="0" r="762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12130" cy="1685925"/>
                    </a:xfrm>
                    <a:prstGeom prst="rect">
                      <a:avLst/>
                    </a:prstGeom>
                  </pic:spPr>
                </pic:pic>
              </a:graphicData>
            </a:graphic>
          </wp:inline>
        </w:drawing>
      </w:r>
    </w:p>
    <w:p w:rsidR="00E315D4" w:rsidRDefault="00E315D4" w:rsidP="001D6862">
      <w:pPr>
        <w:spacing w:before="0" w:after="0"/>
        <w:jc w:val="center"/>
        <w:rPr>
          <w:rFonts w:ascii="Tahoma" w:hAnsi="Tahoma" w:cs="Tahoma"/>
          <w:b/>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EE23CA" w:rsidRDefault="00EE23CA" w:rsidP="00E56795">
      <w:pPr>
        <w:spacing w:before="0" w:after="0"/>
        <w:jc w:val="both"/>
      </w:pPr>
    </w:p>
    <w:p w:rsidR="00E56795" w:rsidRPr="00741448" w:rsidRDefault="00B24EC6" w:rsidP="00E56795">
      <w:pPr>
        <w:spacing w:before="0" w:after="0"/>
        <w:jc w:val="both"/>
      </w:pPr>
      <w:r>
        <w:t xml:space="preserve">El Municipio de </w:t>
      </w:r>
      <w:r w:rsidR="00FF5C98">
        <w:t>Líbano</w:t>
      </w:r>
      <w:r w:rsidR="00F82FBA">
        <w:t xml:space="preserve"> </w:t>
      </w:r>
      <w:r w:rsidR="00C47D9E">
        <w:t>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EE23CA" w:rsidRDefault="00EE23CA" w:rsidP="00741448">
      <w:pPr>
        <w:pStyle w:val="NormalWeb"/>
        <w:spacing w:before="0" w:beforeAutospacing="0" w:after="0" w:afterAutospacing="0"/>
        <w:rPr>
          <w:rFonts w:ascii="Tahoma" w:hAnsi="Tahoma" w:cs="Tahoma"/>
          <w:b/>
          <w:sz w:val="22"/>
          <w:szCs w:val="22"/>
        </w:rPr>
      </w:pPr>
    </w:p>
    <w:p w:rsidR="008C7B9C"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Gastos de Funcionamiento / Ingresos Corriente Libre Destinación</w:t>
      </w:r>
    </w:p>
    <w:p w:rsidR="00BB0EE8" w:rsidRDefault="00BB0EE8" w:rsidP="00741448">
      <w:pPr>
        <w:pStyle w:val="NormalWeb"/>
        <w:spacing w:before="0" w:beforeAutospacing="0" w:after="0" w:afterAutospacing="0"/>
        <w:rPr>
          <w:rFonts w:ascii="Tahoma" w:hAnsi="Tahoma" w:cs="Tahoma"/>
          <w:b/>
          <w:sz w:val="22"/>
          <w:szCs w:val="22"/>
        </w:rPr>
      </w:pPr>
    </w:p>
    <w:p w:rsidR="00BB0EE8" w:rsidRPr="00BB0EE8" w:rsidRDefault="00BB0EE8" w:rsidP="00BB0EE8">
      <w:pPr>
        <w:shd w:val="clear" w:color="auto" w:fill="EAF5FF"/>
        <w:spacing w:before="0" w:after="0"/>
        <w:jc w:val="center"/>
        <w:rPr>
          <w:rFonts w:eastAsia="Times New Roman"/>
          <w:sz w:val="20"/>
          <w:szCs w:val="20"/>
        </w:rPr>
      </w:pPr>
      <w:r w:rsidRPr="00BB0EE8">
        <w:rPr>
          <w:rFonts w:eastAsia="Times New Roman"/>
          <w:b/>
          <w:bCs/>
          <w:sz w:val="20"/>
          <w:szCs w:val="20"/>
        </w:rPr>
        <w:t>CONTRALORÍA GENERAL DE LA REPÚBLICA</w:t>
      </w:r>
    </w:p>
    <w:p w:rsidR="00BB0EE8" w:rsidRPr="00BB0EE8" w:rsidRDefault="00BB0EE8" w:rsidP="00BB0EE8">
      <w:pPr>
        <w:shd w:val="clear" w:color="auto" w:fill="EAF5FF"/>
        <w:spacing w:before="0" w:after="0"/>
        <w:jc w:val="center"/>
        <w:rPr>
          <w:rFonts w:eastAsia="Times New Roman"/>
          <w:sz w:val="20"/>
          <w:szCs w:val="20"/>
        </w:rPr>
      </w:pPr>
      <w:r w:rsidRPr="00BB0EE8">
        <w:rPr>
          <w:rFonts w:eastAsia="Times New Roman"/>
          <w:b/>
          <w:bCs/>
          <w:sz w:val="20"/>
          <w:szCs w:val="20"/>
        </w:rPr>
        <w:t>CONTRALORÍA DELEGADA PARA ECONOMÍA Y FINANZAS PÚBLICAS</w:t>
      </w:r>
    </w:p>
    <w:p w:rsidR="00BB0EE8" w:rsidRPr="00BB0EE8" w:rsidRDefault="00BB0EE8" w:rsidP="00BB0EE8">
      <w:pPr>
        <w:shd w:val="clear" w:color="auto" w:fill="EAF5FF"/>
        <w:spacing w:before="0" w:after="0"/>
        <w:jc w:val="center"/>
        <w:rPr>
          <w:rFonts w:eastAsia="Times New Roman"/>
          <w:sz w:val="20"/>
          <w:szCs w:val="20"/>
        </w:rPr>
      </w:pPr>
      <w:r w:rsidRPr="00BB0EE8">
        <w:rPr>
          <w:rFonts w:eastAsia="Times New Roman"/>
          <w:b/>
          <w:bCs/>
          <w:sz w:val="20"/>
          <w:szCs w:val="20"/>
        </w:rPr>
        <w:t>DIRECCIÓN DE CUENTAS Y ESTADÍSTICAS FISCALES</w:t>
      </w:r>
    </w:p>
    <w:p w:rsidR="00BB0EE8" w:rsidRPr="00BB0EE8" w:rsidRDefault="00F87643" w:rsidP="00BB0EE8">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p w:rsidR="00BB0EE8" w:rsidRPr="00BB0EE8" w:rsidRDefault="00BB0EE8" w:rsidP="00BB0EE8">
      <w:pPr>
        <w:shd w:val="clear" w:color="auto" w:fill="EAF5FF"/>
        <w:spacing w:before="0" w:after="0"/>
        <w:jc w:val="center"/>
        <w:rPr>
          <w:rFonts w:eastAsia="Times New Roman"/>
          <w:sz w:val="20"/>
          <w:szCs w:val="20"/>
        </w:rPr>
      </w:pPr>
      <w:r w:rsidRPr="00BB0EE8">
        <w:rPr>
          <w:rFonts w:eastAsia="Times New Roman"/>
          <w:b/>
          <w:bCs/>
          <w:sz w:val="20"/>
          <w:szCs w:val="20"/>
        </w:rPr>
        <w:t>CONSULTA DATOS CERTIFICACIÓN LEY 617/00</w:t>
      </w: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BB0EE8" w:rsidRPr="00BB0EE8" w:rsidTr="00BB0EE8">
        <w:trPr>
          <w:tblCellSpacing w:w="15" w:type="dxa"/>
          <w:jc w:val="center"/>
        </w:trPr>
        <w:tc>
          <w:tcPr>
            <w:tcW w:w="0" w:type="auto"/>
            <w:shd w:val="clear" w:color="auto" w:fill="EAF5FF"/>
            <w:vAlign w:val="center"/>
            <w:hideMark/>
          </w:tcPr>
          <w:p w:rsidR="00BB0EE8" w:rsidRPr="00BB0EE8" w:rsidRDefault="00BB0EE8" w:rsidP="00BB0EE8">
            <w:pPr>
              <w:spacing w:before="0" w:after="0"/>
              <w:rPr>
                <w:rFonts w:eastAsia="Times New Roman"/>
                <w:color w:val="auto"/>
                <w:sz w:val="18"/>
                <w:szCs w:val="18"/>
              </w:rPr>
            </w:pPr>
          </w:p>
        </w:tc>
      </w:tr>
      <w:tr w:rsidR="00BB0EE8" w:rsidRPr="00BB0EE8" w:rsidTr="00BB0EE8">
        <w:trPr>
          <w:tblCellSpacing w:w="15" w:type="dxa"/>
          <w:jc w:val="center"/>
        </w:trPr>
        <w:tc>
          <w:tcPr>
            <w:tcW w:w="0" w:type="auto"/>
            <w:shd w:val="clear" w:color="auto" w:fill="EAF5FF"/>
            <w:vAlign w:val="center"/>
            <w:hideMark/>
          </w:tcPr>
          <w:p w:rsidR="00BB0EE8" w:rsidRPr="00BB0EE8" w:rsidRDefault="00BB0EE8" w:rsidP="00BB0EE8">
            <w:pPr>
              <w:spacing w:before="0" w:after="0"/>
              <w:rPr>
                <w:rFonts w:eastAsia="Times New Roman"/>
                <w:color w:val="auto"/>
                <w:sz w:val="18"/>
                <w:szCs w:val="18"/>
              </w:rPr>
            </w:pPr>
          </w:p>
        </w:tc>
      </w:tr>
      <w:tr w:rsidR="00BB0EE8" w:rsidRPr="00BB0EE8" w:rsidTr="00BB0EE8">
        <w:trPr>
          <w:tblCellSpacing w:w="15" w:type="dxa"/>
          <w:jc w:val="center"/>
        </w:trPr>
        <w:tc>
          <w:tcPr>
            <w:tcW w:w="0" w:type="auto"/>
            <w:shd w:val="clear" w:color="auto" w:fill="EAF5FF"/>
            <w:vAlign w:val="center"/>
            <w:hideMark/>
          </w:tcPr>
          <w:p w:rsidR="00BB0EE8" w:rsidRPr="00BB0EE8" w:rsidRDefault="00BB0EE8" w:rsidP="00BB0EE8">
            <w:pPr>
              <w:spacing w:before="0" w:after="0"/>
              <w:rPr>
                <w:rFonts w:eastAsia="Times New Roman"/>
                <w:color w:val="auto"/>
                <w:sz w:val="18"/>
                <w:szCs w:val="18"/>
              </w:rPr>
            </w:pPr>
          </w:p>
        </w:tc>
      </w:tr>
      <w:tr w:rsidR="00BB0EE8" w:rsidRPr="00BB0EE8" w:rsidTr="00BB0EE8">
        <w:trPr>
          <w:tblCellSpacing w:w="15" w:type="dxa"/>
          <w:jc w:val="center"/>
        </w:trPr>
        <w:tc>
          <w:tcPr>
            <w:tcW w:w="0" w:type="auto"/>
            <w:shd w:val="clear" w:color="auto" w:fill="EAF5FF"/>
            <w:vAlign w:val="center"/>
            <w:hideMark/>
          </w:tcPr>
          <w:p w:rsidR="00BB0EE8" w:rsidRPr="00BB0EE8" w:rsidRDefault="00BB0EE8" w:rsidP="00BB0EE8">
            <w:pPr>
              <w:spacing w:before="0" w:after="0"/>
              <w:rPr>
                <w:rFonts w:eastAsia="Times New Roman"/>
                <w:color w:val="auto"/>
                <w:sz w:val="18"/>
                <w:szCs w:val="18"/>
              </w:rPr>
            </w:pPr>
          </w:p>
        </w:tc>
      </w:tr>
      <w:tr w:rsidR="00BB0EE8" w:rsidRPr="00BB0EE8" w:rsidTr="00BB0EE8">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BB0EE8" w:rsidRPr="00BB0EE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TOLIMA</w:t>
                  </w:r>
                </w:p>
              </w:tc>
            </w:tr>
            <w:tr w:rsidR="00BB0EE8" w:rsidRPr="00BB0EE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211173411 - LIBANO</w:t>
                  </w:r>
                </w:p>
              </w:tc>
            </w:tr>
            <w:tr w:rsidR="00BB0EE8" w:rsidRPr="00BB0EE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2015</w:t>
                  </w:r>
                </w:p>
              </w:tc>
            </w:tr>
            <w:tr w:rsidR="00BB0EE8" w:rsidRPr="00BB0EE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Sexta</w:t>
                  </w:r>
                </w:p>
              </w:tc>
            </w:tr>
            <w:tr w:rsidR="00BB0EE8" w:rsidRPr="00BB0EE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80%</w:t>
                  </w:r>
                </w:p>
              </w:tc>
            </w:tr>
            <w:tr w:rsidR="00BB0EE8" w:rsidRPr="00BB0EE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lastRenderedPageBreak/>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Procede la Certificación de la Entidad.</w:t>
                  </w:r>
                </w:p>
              </w:tc>
            </w:tr>
          </w:tbl>
          <w:p w:rsidR="00BB0EE8" w:rsidRPr="00BB0EE8" w:rsidRDefault="00BB0EE8" w:rsidP="00BB0EE8">
            <w:pPr>
              <w:spacing w:before="0" w:after="0"/>
              <w:jc w:val="center"/>
              <w:rPr>
                <w:rFonts w:eastAsia="Times New Roman"/>
                <w:color w:val="auto"/>
                <w:sz w:val="18"/>
                <w:szCs w:val="18"/>
              </w:rPr>
            </w:pPr>
          </w:p>
        </w:tc>
      </w:tr>
      <w:tr w:rsidR="00BB0EE8" w:rsidRPr="00BB0EE8" w:rsidTr="00BB0EE8">
        <w:trPr>
          <w:tblCellSpacing w:w="15" w:type="dxa"/>
          <w:jc w:val="center"/>
        </w:trPr>
        <w:tc>
          <w:tcPr>
            <w:tcW w:w="0" w:type="auto"/>
            <w:shd w:val="clear" w:color="auto" w:fill="EAF5FF"/>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lastRenderedPageBreak/>
              <w:t>Ingresos Corrientes de Libre Destinación (ICLD)</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0"/>
              <w:gridCol w:w="4546"/>
              <w:gridCol w:w="1964"/>
            </w:tblGrid>
            <w:tr w:rsidR="00BB0EE8" w:rsidRPr="00BB0EE8">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0EE8" w:rsidRPr="00BB0EE8" w:rsidRDefault="00BB0EE8" w:rsidP="00BB0EE8">
                  <w:pPr>
                    <w:spacing w:before="0" w:after="0"/>
                    <w:rPr>
                      <w:rFonts w:eastAsia="Times New Roman"/>
                      <w:color w:val="auto"/>
                      <w:sz w:val="18"/>
                      <w:szCs w:val="18"/>
                    </w:rPr>
                  </w:pPr>
                </w:p>
              </w:tc>
            </w:tr>
            <w:tr w:rsidR="00BB0EE8" w:rsidRPr="00BB0EE8">
              <w:trPr>
                <w:tblCellSpacing w:w="6"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Ejecución (Miles de Pesos)</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1.1.01.01.34</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Circulación y Tránsito por Transporte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122.919</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1.443.137</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996.461</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84.382</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1.1.01.02.49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Delineación y Urbanismo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39.011</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1.1.01.02.57</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Degüello de Ganado Menor</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380</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692.753</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1.1.01.02.69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Registro de Marcas y Herretes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498</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1.1.01.02.98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Otros Impuestos Indirectos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16.600</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1.1.02.01.01.13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Matadero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356</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1.1.02.01.01.39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Arrendamientos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182.898</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1.1.02.01.01.98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Otras Tasas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15.562</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1.1.02.01.03.09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Multas de Gobierno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1.096</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192.181</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1.1.02.01.03.98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Otras Multas y Sanciones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1.423</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1.023.901</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1.1.02.02.01.03.01.01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De Vehículos Automotores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99.385</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1.1.02.02.03.09.09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Degüello de Ganado Mayor</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40.880</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b/>
                      <w:bCs/>
                      <w:color w:val="auto"/>
                      <w:sz w:val="18"/>
                      <w:szCs w:val="18"/>
                    </w:rPr>
                    <w:t>4.953.823</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b/>
                      <w:bCs/>
                      <w:color w:val="auto"/>
                      <w:sz w:val="18"/>
                      <w:szCs w:val="18"/>
                    </w:rPr>
                    <w:t>4.953.823</w:t>
                  </w:r>
                </w:p>
              </w:tc>
            </w:tr>
          </w:tbl>
          <w:p w:rsidR="00BB0EE8" w:rsidRPr="00BB0EE8" w:rsidRDefault="00BB0EE8" w:rsidP="00BB0EE8">
            <w:pPr>
              <w:spacing w:before="0" w:after="0"/>
              <w:jc w:val="center"/>
              <w:rPr>
                <w:rFonts w:eastAsia="Times New Roman"/>
                <w:color w:val="auto"/>
                <w:sz w:val="18"/>
                <w:szCs w:val="18"/>
              </w:rPr>
            </w:pPr>
          </w:p>
        </w:tc>
      </w:tr>
      <w:tr w:rsidR="00BB0EE8" w:rsidRPr="00BB0EE8" w:rsidTr="00BB0EE8">
        <w:trPr>
          <w:tblCellSpacing w:w="15" w:type="dxa"/>
          <w:jc w:val="center"/>
        </w:trPr>
        <w:tc>
          <w:tcPr>
            <w:tcW w:w="0" w:type="auto"/>
            <w:shd w:val="clear" w:color="auto" w:fill="EAF5FF"/>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BB0EE8" w:rsidRPr="00BB0EE8">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B0EE8" w:rsidRPr="00BB0EE8" w:rsidRDefault="00BB0EE8" w:rsidP="00BB0EE8">
                  <w:pPr>
                    <w:spacing w:before="0" w:after="0"/>
                    <w:rPr>
                      <w:rFonts w:eastAsia="Times New Roman"/>
                      <w:color w:val="auto"/>
                      <w:sz w:val="18"/>
                      <w:szCs w:val="18"/>
                    </w:rPr>
                  </w:pPr>
                </w:p>
              </w:tc>
            </w:tr>
            <w:tr w:rsidR="00BB0EE8" w:rsidRPr="00BB0EE8">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Ejecución (Miles de Pesos)</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1.632.751</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341.362</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color w:val="auto"/>
                      <w:sz w:val="18"/>
                      <w:szCs w:val="18"/>
                    </w:rPr>
                    <w:t>1.222.606</w:t>
                  </w:r>
                </w:p>
              </w:tc>
            </w:tr>
            <w:tr w:rsidR="00BB0EE8" w:rsidRPr="00BB0EE8">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rPr>
                      <w:rFonts w:eastAsia="Times New Roman"/>
                      <w:color w:val="auto"/>
                      <w:sz w:val="18"/>
                      <w:szCs w:val="18"/>
                    </w:rPr>
                  </w:pPr>
                  <w:r w:rsidRPr="00BB0EE8">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b/>
                      <w:bCs/>
                      <w:color w:val="auto"/>
                      <w:sz w:val="18"/>
                      <w:szCs w:val="18"/>
                    </w:rPr>
                    <w:t>3.196.719</w:t>
                  </w:r>
                </w:p>
              </w:tc>
            </w:tr>
          </w:tbl>
          <w:p w:rsidR="00BB0EE8" w:rsidRPr="00BB0EE8" w:rsidRDefault="00BB0EE8" w:rsidP="00BB0EE8">
            <w:pPr>
              <w:spacing w:before="0" w:after="0"/>
              <w:jc w:val="center"/>
              <w:rPr>
                <w:rFonts w:eastAsia="Times New Roman"/>
                <w:color w:val="auto"/>
                <w:sz w:val="18"/>
                <w:szCs w:val="18"/>
              </w:rPr>
            </w:pPr>
          </w:p>
        </w:tc>
      </w:tr>
      <w:tr w:rsidR="00BB0EE8" w:rsidRPr="00BB0EE8" w:rsidTr="00BB0EE8">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29"/>
              <w:gridCol w:w="1171"/>
            </w:tblGrid>
            <w:tr w:rsidR="00BB0EE8" w:rsidRPr="00BB0EE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center"/>
                    <w:rPr>
                      <w:rFonts w:eastAsia="Times New Roman"/>
                      <w:color w:val="auto"/>
                      <w:sz w:val="18"/>
                      <w:szCs w:val="18"/>
                    </w:rPr>
                  </w:pPr>
                  <w:r w:rsidRPr="00BB0EE8">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b/>
                      <w:bCs/>
                      <w:color w:val="auto"/>
                      <w:sz w:val="18"/>
                      <w:szCs w:val="18"/>
                    </w:rPr>
                    <w:t>64,53%</w:t>
                  </w:r>
                </w:p>
              </w:tc>
            </w:tr>
            <w:tr w:rsidR="00BB0EE8" w:rsidRPr="00BB0EE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center"/>
                    <w:rPr>
                      <w:rFonts w:eastAsia="Times New Roman"/>
                      <w:color w:val="auto"/>
                      <w:sz w:val="18"/>
                      <w:szCs w:val="18"/>
                    </w:rPr>
                  </w:pPr>
                  <w:proofErr w:type="spellStart"/>
                  <w:r w:rsidRPr="00BB0EE8">
                    <w:rPr>
                      <w:rFonts w:eastAsia="Times New Roman"/>
                      <w:b/>
                      <w:bCs/>
                      <w:color w:val="auto"/>
                      <w:sz w:val="18"/>
                      <w:szCs w:val="18"/>
                    </w:rPr>
                    <w:t>Limte</w:t>
                  </w:r>
                  <w:proofErr w:type="spellEnd"/>
                  <w:r w:rsidRPr="00BB0EE8">
                    <w:rPr>
                      <w:rFonts w:eastAsia="Times New Roman"/>
                      <w:b/>
                      <w:bCs/>
                      <w:color w:val="auto"/>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B0EE8" w:rsidRPr="00BB0EE8" w:rsidRDefault="00BB0EE8" w:rsidP="00BB0EE8">
                  <w:pPr>
                    <w:spacing w:before="0" w:after="0"/>
                    <w:jc w:val="right"/>
                    <w:rPr>
                      <w:rFonts w:eastAsia="Times New Roman"/>
                      <w:color w:val="auto"/>
                      <w:sz w:val="18"/>
                      <w:szCs w:val="18"/>
                    </w:rPr>
                  </w:pPr>
                  <w:r w:rsidRPr="00BB0EE8">
                    <w:rPr>
                      <w:rFonts w:eastAsia="Times New Roman"/>
                      <w:b/>
                      <w:bCs/>
                      <w:color w:val="auto"/>
                      <w:sz w:val="18"/>
                      <w:szCs w:val="18"/>
                    </w:rPr>
                    <w:t>15,47%</w:t>
                  </w:r>
                </w:p>
              </w:tc>
            </w:tr>
          </w:tbl>
          <w:p w:rsidR="00BB0EE8" w:rsidRPr="00BB0EE8" w:rsidRDefault="00BB0EE8" w:rsidP="00BB0EE8">
            <w:pPr>
              <w:spacing w:before="0" w:after="0"/>
              <w:jc w:val="center"/>
              <w:rPr>
                <w:rFonts w:eastAsia="Times New Roman"/>
                <w:color w:val="auto"/>
                <w:sz w:val="18"/>
                <w:szCs w:val="18"/>
              </w:rPr>
            </w:pPr>
          </w:p>
        </w:tc>
      </w:tr>
    </w:tbl>
    <w:p w:rsidR="00BB0EE8" w:rsidRDefault="00BB0EE8" w:rsidP="00AC2164">
      <w:pPr>
        <w:spacing w:before="0" w:after="0"/>
        <w:rPr>
          <w:rFonts w:eastAsia="Times New Roman"/>
          <w:color w:val="auto"/>
          <w:sz w:val="18"/>
          <w:szCs w:val="18"/>
        </w:rPr>
      </w:pPr>
    </w:p>
    <w:p w:rsidR="005F5D93" w:rsidRPr="00AC2164"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FA0402" w:rsidRDefault="00FA0402" w:rsidP="008762C3">
      <w:pPr>
        <w:pStyle w:val="Ttulo2"/>
        <w:jc w:val="both"/>
        <w:rPr>
          <w:rFonts w:ascii="Tahoma" w:hAnsi="Tahoma" w:cs="Tahoma"/>
          <w:b w:val="0"/>
          <w:sz w:val="22"/>
          <w:lang w:val="es-CO"/>
        </w:rPr>
      </w:pPr>
    </w:p>
    <w:p w:rsidR="008762C3" w:rsidRDefault="008762C3" w:rsidP="008762C3">
      <w:pPr>
        <w:pStyle w:val="Ttulo2"/>
        <w:jc w:val="both"/>
        <w:rPr>
          <w:rFonts w:ascii="Tahoma" w:hAnsi="Tahoma" w:cs="Tahoma"/>
          <w:b w:val="0"/>
          <w:sz w:val="22"/>
          <w:lang w:val="es-CO"/>
        </w:rPr>
      </w:pPr>
      <w:r>
        <w:rPr>
          <w:rFonts w:ascii="Tahoma" w:hAnsi="Tahoma" w:cs="Tahoma"/>
          <w:b w:val="0"/>
          <w:sz w:val="22"/>
          <w:lang w:val="es-CO"/>
        </w:rPr>
        <w:t xml:space="preserve">Teniendo en cuenta la certificación de Ingresos corrientes de Libre Destinación expedida por la Contraloría General de la República y la Ejecución presupuestal de Ingresos y Gastos, se evidenció que el Municipio de </w:t>
      </w:r>
      <w:r w:rsidR="00BB0EE8">
        <w:rPr>
          <w:rFonts w:ascii="Tahoma" w:hAnsi="Tahoma" w:cs="Tahoma"/>
          <w:b w:val="0"/>
          <w:sz w:val="22"/>
          <w:lang w:val="es-CO"/>
        </w:rPr>
        <w:t>Líban</w:t>
      </w:r>
      <w:r w:rsidR="00407773">
        <w:rPr>
          <w:rFonts w:ascii="Tahoma" w:hAnsi="Tahoma" w:cs="Tahoma"/>
          <w:b w:val="0"/>
          <w:sz w:val="22"/>
          <w:lang w:val="es-CO"/>
        </w:rPr>
        <w:t>o</w:t>
      </w:r>
      <w:r>
        <w:rPr>
          <w:rFonts w:ascii="Tahoma" w:hAnsi="Tahoma" w:cs="Tahoma"/>
          <w:b w:val="0"/>
          <w:sz w:val="22"/>
          <w:lang w:val="es-CO"/>
        </w:rPr>
        <w:t xml:space="preserve">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del </w:t>
      </w:r>
      <w:r w:rsidR="00BB0EE8">
        <w:rPr>
          <w:rFonts w:ascii="Tahoma" w:hAnsi="Tahoma" w:cs="Tahoma"/>
          <w:b w:val="0"/>
          <w:sz w:val="22"/>
          <w:lang w:val="es-CO"/>
        </w:rPr>
        <w:t>64.53</w:t>
      </w:r>
      <w:r w:rsidRPr="008762C3">
        <w:rPr>
          <w:rFonts w:ascii="Tahoma" w:hAnsi="Tahoma" w:cs="Tahoma"/>
          <w:sz w:val="22"/>
          <w:lang w:val="es-CO"/>
        </w:rPr>
        <w:t>%</w:t>
      </w:r>
      <w:r>
        <w:rPr>
          <w:rFonts w:ascii="Tahoma" w:hAnsi="Tahoma" w:cs="Tahoma"/>
          <w:b w:val="0"/>
          <w:sz w:val="22"/>
          <w:lang w:val="es-CO"/>
        </w:rPr>
        <w:t xml:space="preserve"> dónde el límite máximo es del 80%.</w:t>
      </w:r>
    </w:p>
    <w:p w:rsidR="008762C3" w:rsidRDefault="008762C3" w:rsidP="004B7B3F">
      <w:pPr>
        <w:spacing w:before="0" w:after="0"/>
        <w:jc w:val="both"/>
        <w:rPr>
          <w:rFonts w:ascii="Tahoma" w:eastAsia="Times New Roman" w:hAnsi="Tahoma" w:cs="Tahoma"/>
          <w:b/>
          <w:bCs/>
          <w:color w:val="auto"/>
        </w:rPr>
      </w:pPr>
    </w:p>
    <w:p w:rsidR="004B7B3F" w:rsidRPr="00163FB1" w:rsidRDefault="00E15E67" w:rsidP="004B7B3F">
      <w:pPr>
        <w:spacing w:before="0" w:after="0"/>
        <w:jc w:val="both"/>
        <w:rPr>
          <w:rFonts w:ascii="Tahoma" w:eastAsia="Times New Roman" w:hAnsi="Tahoma" w:cs="Tahoma"/>
          <w:b/>
          <w:bCs/>
          <w:color w:val="auto"/>
        </w:rPr>
      </w:pPr>
      <w:r w:rsidRPr="00163FB1">
        <w:rPr>
          <w:rFonts w:ascii="Tahoma" w:eastAsia="Times New Roman" w:hAnsi="Tahoma" w:cs="Tahoma"/>
          <w:b/>
          <w:bCs/>
          <w:color w:val="auto"/>
        </w:rPr>
        <w:t xml:space="preserve">GASTOS DE LAS CORPORACIONES </w:t>
      </w:r>
      <w:r w:rsidR="005F4A02" w:rsidRPr="00163FB1">
        <w:rPr>
          <w:rFonts w:ascii="Tahoma" w:eastAsia="Times New Roman" w:hAnsi="Tahoma" w:cs="Tahoma"/>
          <w:b/>
          <w:bCs/>
          <w:color w:val="auto"/>
        </w:rPr>
        <w:t>PÚBLICAS</w:t>
      </w:r>
      <w:r w:rsidRPr="00163FB1">
        <w:rPr>
          <w:rFonts w:ascii="Tahoma" w:eastAsia="Times New Roman" w:hAnsi="Tahoma" w:cs="Tahoma"/>
          <w:b/>
          <w:bCs/>
          <w:color w:val="auto"/>
        </w:rPr>
        <w:t xml:space="preserve"> – CONCEJO MUNICIPAL</w:t>
      </w:r>
    </w:p>
    <w:p w:rsidR="00E15E67" w:rsidRPr="00163FB1" w:rsidRDefault="00E15E67" w:rsidP="004B7B3F">
      <w:pPr>
        <w:spacing w:before="0" w:after="0"/>
        <w:jc w:val="both"/>
        <w:rPr>
          <w:rFonts w:ascii="Tahoma" w:eastAsia="Times New Roman" w:hAnsi="Tahoma" w:cs="Tahoma"/>
          <w:b/>
          <w:bCs/>
          <w:color w:val="auto"/>
        </w:rPr>
      </w:pPr>
    </w:p>
    <w:p w:rsidR="00E15E67" w:rsidRDefault="00E15E67" w:rsidP="004B7B3F">
      <w:pPr>
        <w:spacing w:before="0" w:after="0"/>
        <w:jc w:val="both"/>
        <w:rPr>
          <w:rFonts w:ascii="Tahoma" w:hAnsi="Tahoma" w:cs="Tahoma"/>
        </w:rPr>
      </w:pPr>
      <w:r w:rsidRPr="00163FB1">
        <w:rPr>
          <w:rFonts w:ascii="Tahoma" w:eastAsia="Times New Roman" w:hAnsi="Tahoma" w:cs="Tahoma"/>
          <w:bCs/>
          <w:color w:val="auto"/>
        </w:rPr>
        <w:t xml:space="preserve">El </w:t>
      </w:r>
      <w:r w:rsidR="00C86CA5" w:rsidRPr="00163FB1">
        <w:rPr>
          <w:rFonts w:ascii="Tahoma" w:eastAsia="Times New Roman" w:hAnsi="Tahoma" w:cs="Tahoma"/>
          <w:bCs/>
          <w:color w:val="auto"/>
        </w:rPr>
        <w:t>ente Territorial</w:t>
      </w:r>
      <w:r w:rsidRPr="00163FB1">
        <w:rPr>
          <w:rFonts w:ascii="Tahoma" w:eastAsia="Times New Roman" w:hAnsi="Tahoma" w:cs="Tahoma"/>
          <w:bCs/>
          <w:color w:val="auto"/>
        </w:rPr>
        <w:t xml:space="preserve"> para la vigencia 2015, le transfirió al Concejo Municipal la suma de </w:t>
      </w:r>
      <w:r w:rsidRPr="0032401F">
        <w:rPr>
          <w:rFonts w:ascii="Tahoma" w:eastAsia="Times New Roman" w:hAnsi="Tahoma" w:cs="Tahoma"/>
          <w:b/>
          <w:bCs/>
          <w:color w:val="auto"/>
        </w:rPr>
        <w:t>$</w:t>
      </w:r>
      <w:r w:rsidR="00E142FF">
        <w:rPr>
          <w:rFonts w:ascii="Tahoma" w:eastAsia="Times New Roman" w:hAnsi="Tahoma" w:cs="Tahoma"/>
          <w:b/>
          <w:bCs/>
          <w:color w:val="auto"/>
        </w:rPr>
        <w:t>183</w:t>
      </w:r>
      <w:r w:rsidR="001D01D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de los cuales </w:t>
      </w:r>
      <w:r w:rsidR="005F4A02" w:rsidRPr="00FA0402">
        <w:rPr>
          <w:rFonts w:ascii="Tahoma" w:eastAsia="Times New Roman" w:hAnsi="Tahoma" w:cs="Tahoma"/>
          <w:b/>
          <w:bCs/>
          <w:color w:val="auto"/>
        </w:rPr>
        <w:t>$</w:t>
      </w:r>
      <w:r w:rsidR="00E00C8E">
        <w:rPr>
          <w:rFonts w:ascii="Tahoma" w:eastAsia="Times New Roman" w:hAnsi="Tahoma" w:cs="Tahoma"/>
          <w:b/>
          <w:bCs/>
          <w:color w:val="auto"/>
        </w:rPr>
        <w:t>119</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correspondieron a honorarios de Concejales y </w:t>
      </w:r>
      <w:r w:rsidR="005F4A02" w:rsidRPr="00FA0402">
        <w:rPr>
          <w:rFonts w:ascii="Tahoma" w:eastAsia="Times New Roman" w:hAnsi="Tahoma" w:cs="Tahoma"/>
          <w:b/>
          <w:bCs/>
          <w:color w:val="auto"/>
        </w:rPr>
        <w:t>$</w:t>
      </w:r>
      <w:r w:rsidR="00E00C8E">
        <w:rPr>
          <w:rFonts w:ascii="Tahoma" w:eastAsia="Times New Roman" w:hAnsi="Tahoma" w:cs="Tahoma"/>
          <w:b/>
          <w:bCs/>
          <w:color w:val="auto"/>
        </w:rPr>
        <w:t>64</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para gastos de funcionamiento</w:t>
      </w:r>
      <w:r w:rsidR="007B5621" w:rsidRPr="00163FB1">
        <w:rPr>
          <w:rFonts w:ascii="Tahoma" w:eastAsia="Times New Roman" w:hAnsi="Tahoma" w:cs="Tahoma"/>
          <w:bCs/>
          <w:color w:val="auto"/>
        </w:rPr>
        <w:t xml:space="preserve">, </w:t>
      </w:r>
      <w:r w:rsidR="00067E63">
        <w:rPr>
          <w:rFonts w:ascii="Tahoma" w:eastAsia="Times New Roman" w:hAnsi="Tahoma" w:cs="Tahoma"/>
          <w:bCs/>
          <w:color w:val="auto"/>
        </w:rPr>
        <w:t xml:space="preserve">por lo tanto </w:t>
      </w:r>
      <w:r w:rsidR="001B475A" w:rsidRPr="00163FB1">
        <w:rPr>
          <w:rFonts w:ascii="Tahoma" w:eastAsia="Times New Roman" w:hAnsi="Tahoma" w:cs="Tahoma"/>
          <w:bCs/>
          <w:color w:val="auto"/>
        </w:rPr>
        <w:t xml:space="preserve">el Municipio de </w:t>
      </w:r>
      <w:r w:rsidR="00E00C8E">
        <w:rPr>
          <w:rFonts w:ascii="Tahoma" w:eastAsia="Times New Roman" w:hAnsi="Tahoma" w:cs="Tahoma"/>
          <w:b/>
          <w:bCs/>
          <w:color w:val="auto"/>
        </w:rPr>
        <w:t>LIBANO</w:t>
      </w:r>
      <w:r w:rsidR="00AF2082" w:rsidRPr="00AF2082">
        <w:rPr>
          <w:rFonts w:ascii="Tahoma" w:hAnsi="Tahoma" w:cs="Tahoma"/>
          <w:b/>
        </w:rPr>
        <w:t xml:space="preserve"> </w:t>
      </w:r>
      <w:r w:rsidR="00640913" w:rsidRPr="00163FB1">
        <w:rPr>
          <w:rFonts w:ascii="Tahoma" w:eastAsia="Times New Roman" w:hAnsi="Tahoma" w:cs="Tahoma"/>
          <w:b/>
          <w:bCs/>
          <w:color w:val="auto"/>
          <w:u w:val="single"/>
        </w:rPr>
        <w:t>d</w:t>
      </w:r>
      <w:r w:rsidR="001B475A" w:rsidRPr="00163FB1">
        <w:rPr>
          <w:rFonts w:ascii="Tahoma" w:eastAsia="Times New Roman" w:hAnsi="Tahoma" w:cs="Tahoma"/>
          <w:b/>
          <w:bCs/>
          <w:color w:val="auto"/>
          <w:u w:val="single"/>
        </w:rPr>
        <w:t>io</w:t>
      </w:r>
      <w:r w:rsidR="00640913" w:rsidRPr="00163FB1">
        <w:rPr>
          <w:rFonts w:ascii="Tahoma" w:eastAsia="Times New Roman" w:hAnsi="Tahoma" w:cs="Tahoma"/>
          <w:b/>
          <w:bCs/>
          <w:color w:val="auto"/>
          <w:u w:val="single"/>
        </w:rPr>
        <w:t xml:space="preserve"> </w:t>
      </w:r>
      <w:r w:rsidR="00640913" w:rsidRPr="00163FB1">
        <w:rPr>
          <w:rFonts w:ascii="Tahoma" w:hAnsi="Tahoma" w:cs="Tahoma"/>
          <w:b/>
          <w:u w:val="single"/>
        </w:rPr>
        <w:t>cumplimiento</w:t>
      </w:r>
      <w:r w:rsidR="00640913" w:rsidRPr="00163FB1">
        <w:rPr>
          <w:rFonts w:ascii="Tahoma" w:hAnsi="Tahoma" w:cs="Tahoma"/>
          <w:u w:val="single"/>
        </w:rPr>
        <w:t xml:space="preserve"> </w:t>
      </w:r>
      <w:r w:rsidR="00640913" w:rsidRPr="00163FB1">
        <w:rPr>
          <w:rFonts w:ascii="Tahoma" w:hAnsi="Tahoma" w:cs="Tahoma"/>
        </w:rPr>
        <w:t>a lo establec</w:t>
      </w:r>
      <w:r w:rsidR="00A66750" w:rsidRPr="00163FB1">
        <w:rPr>
          <w:rFonts w:ascii="Tahoma" w:hAnsi="Tahoma" w:cs="Tahoma"/>
        </w:rPr>
        <w:t xml:space="preserve">ido en </w:t>
      </w:r>
      <w:r w:rsidR="00640913" w:rsidRPr="00163FB1">
        <w:rPr>
          <w:rFonts w:ascii="Tahoma" w:hAnsi="Tahoma" w:cs="Tahoma"/>
        </w:rPr>
        <w:t>la Ley 617 de</w:t>
      </w:r>
      <w:r w:rsidR="00C86CA5" w:rsidRPr="00163FB1">
        <w:rPr>
          <w:rFonts w:ascii="Tahoma" w:hAnsi="Tahoma" w:cs="Tahoma"/>
        </w:rPr>
        <w:t xml:space="preserve"> 2000 artículo 10,</w:t>
      </w:r>
      <w:r w:rsidR="005172FE" w:rsidRPr="00163FB1">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FA0402">
        <w:rPr>
          <w:rFonts w:ascii="Tahoma" w:hAnsi="Tahoma" w:cs="Tahoma"/>
        </w:rPr>
        <w:t xml:space="preserve">; Donde los Ingresos corrientes fueron de </w:t>
      </w:r>
      <w:r w:rsidR="00FA0402" w:rsidRPr="00FA0402">
        <w:rPr>
          <w:rFonts w:ascii="Tahoma" w:hAnsi="Tahoma" w:cs="Tahoma"/>
          <w:b/>
        </w:rPr>
        <w:t>$</w:t>
      </w:r>
      <w:r w:rsidR="00D57142">
        <w:rPr>
          <w:rFonts w:ascii="Tahoma" w:hAnsi="Tahoma" w:cs="Tahoma"/>
          <w:b/>
        </w:rPr>
        <w:t>4.425.804</w:t>
      </w:r>
      <w:r w:rsidR="00FA0402" w:rsidRPr="00FA0402">
        <w:rPr>
          <w:rFonts w:ascii="Tahoma" w:hAnsi="Tahoma" w:cs="Tahoma"/>
          <w:b/>
        </w:rPr>
        <w:t>.000</w:t>
      </w:r>
      <w:r w:rsidR="00FA0402">
        <w:rPr>
          <w:rFonts w:ascii="Tahoma" w:hAnsi="Tahoma" w:cs="Tahoma"/>
        </w:rPr>
        <w:t>.</w:t>
      </w:r>
      <w:r w:rsidR="00FA0402" w:rsidRPr="00D57142">
        <w:rPr>
          <w:rFonts w:ascii="Tahoma" w:hAnsi="Tahoma" w:cs="Tahoma"/>
          <w:b/>
        </w:rPr>
        <w:t>oo</w:t>
      </w:r>
      <w:r w:rsidR="00D57142">
        <w:rPr>
          <w:rFonts w:ascii="Tahoma" w:hAnsi="Tahoma" w:cs="Tahoma"/>
        </w:rPr>
        <w:t xml:space="preserve">, es decir, le correspondía para gastos de funcionamiento la suma de </w:t>
      </w:r>
      <w:r w:rsidR="00763FDB" w:rsidRPr="00163FB1">
        <w:rPr>
          <w:rFonts w:ascii="Tahoma" w:hAnsi="Tahoma" w:cs="Tahoma"/>
        </w:rPr>
        <w:t xml:space="preserve"> </w:t>
      </w:r>
      <w:r w:rsidR="00763FDB" w:rsidRPr="00FA0402">
        <w:rPr>
          <w:rFonts w:ascii="Tahoma" w:hAnsi="Tahoma" w:cs="Tahoma"/>
          <w:b/>
        </w:rPr>
        <w:t>$</w:t>
      </w:r>
      <w:r w:rsidR="00E00C8E">
        <w:rPr>
          <w:rFonts w:ascii="Tahoma" w:hAnsi="Tahoma" w:cs="Tahoma"/>
          <w:b/>
        </w:rPr>
        <w:t>74.307.345</w:t>
      </w:r>
      <w:r w:rsidR="00763FDB" w:rsidRPr="00FA0402">
        <w:rPr>
          <w:rFonts w:ascii="Tahoma" w:hAnsi="Tahoma" w:cs="Tahoma"/>
          <w:b/>
        </w:rPr>
        <w:t>.oo</w:t>
      </w:r>
      <w:r w:rsidR="00150875">
        <w:rPr>
          <w:rFonts w:ascii="Tahoma" w:hAnsi="Tahoma" w:cs="Tahoma"/>
        </w:rPr>
        <w:t>.</w:t>
      </w:r>
    </w:p>
    <w:p w:rsidR="00763FDB" w:rsidRDefault="00763FDB" w:rsidP="004B7B3F">
      <w:pPr>
        <w:spacing w:before="0" w:after="0"/>
        <w:jc w:val="both"/>
        <w:rPr>
          <w:rFonts w:ascii="Tahoma" w:hAnsi="Tahoma" w:cs="Tahoma"/>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w:t>
      </w:r>
      <w:r w:rsidR="004E1489">
        <w:rPr>
          <w:rFonts w:ascii="Tahoma" w:eastAsia="Times New Roman" w:hAnsi="Tahoma" w:cs="Tahoma"/>
          <w:bCs/>
          <w:color w:val="auto"/>
        </w:rPr>
        <w:t>do a la categoría del Municipio. El M</w:t>
      </w:r>
      <w:r w:rsidR="008C73D6" w:rsidRPr="00CA76CA">
        <w:rPr>
          <w:rFonts w:ascii="Tahoma" w:eastAsia="Times New Roman" w:hAnsi="Tahoma" w:cs="Tahoma"/>
          <w:bCs/>
          <w:color w:val="auto"/>
        </w:rPr>
        <w:t xml:space="preserve">unicipio de </w:t>
      </w:r>
      <w:r w:rsidR="00B9549F">
        <w:rPr>
          <w:rFonts w:ascii="Tahoma" w:eastAsia="Times New Roman" w:hAnsi="Tahoma" w:cs="Tahoma"/>
          <w:bCs/>
          <w:color w:val="auto"/>
        </w:rPr>
        <w:t>Líbano</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 xml:space="preserve">se encuentra clasificado en Sexta Categoría, los gastos </w:t>
      </w:r>
      <w:r w:rsidR="004E1489">
        <w:rPr>
          <w:rFonts w:ascii="Tahoma" w:eastAsia="Times New Roman" w:hAnsi="Tahoma" w:cs="Tahoma"/>
          <w:bCs/>
          <w:color w:val="auto"/>
        </w:rPr>
        <w:t>de la personería no podrá</w:t>
      </w:r>
      <w:r w:rsidR="00D34898" w:rsidRPr="00CA76CA">
        <w:rPr>
          <w:rFonts w:ascii="Tahoma" w:eastAsia="Times New Roman" w:hAnsi="Tahoma" w:cs="Tahoma"/>
          <w:bCs/>
          <w:color w:val="auto"/>
        </w:rPr>
        <w:t xml:space="preserve"> superar los 150 SMMV, es decir, para la vigencia 2015 la suma de </w:t>
      </w:r>
      <w:r w:rsidR="00D34898" w:rsidRPr="00760198">
        <w:rPr>
          <w:rFonts w:ascii="Tahoma" w:eastAsia="Times New Roman" w:hAnsi="Tahoma" w:cs="Tahoma"/>
          <w:b/>
          <w:bCs/>
          <w:color w:val="auto"/>
        </w:rPr>
        <w:t>$96.652.500.oo</w:t>
      </w:r>
      <w:r w:rsidR="00760198">
        <w:rPr>
          <w:rFonts w:ascii="Tahoma" w:eastAsia="Times New Roman" w:hAnsi="Tahoma" w:cs="Tahoma"/>
          <w:b/>
          <w:bCs/>
          <w:color w:val="auto"/>
        </w:rPr>
        <w:t>.</w:t>
      </w:r>
    </w:p>
    <w:p w:rsidR="00D34898" w:rsidRPr="00CA76CA" w:rsidRDefault="00D34898" w:rsidP="004B7B3F">
      <w:pPr>
        <w:spacing w:before="0" w:after="0"/>
        <w:jc w:val="both"/>
        <w:rPr>
          <w:rFonts w:ascii="Tahoma" w:eastAsia="Times New Roman" w:hAnsi="Tahoma" w:cs="Tahoma"/>
          <w:bCs/>
          <w:color w:val="auto"/>
        </w:rPr>
      </w:pPr>
    </w:p>
    <w:p w:rsidR="00F344D5" w:rsidRPr="001C01E8" w:rsidRDefault="00F344D5" w:rsidP="004B7B3F">
      <w:pPr>
        <w:spacing w:before="0" w:after="0"/>
        <w:jc w:val="both"/>
        <w:rPr>
          <w:rFonts w:ascii="Tahoma" w:eastAsia="Times New Roman" w:hAnsi="Tahoma" w:cs="Tahoma"/>
          <w:b/>
          <w:bCs/>
          <w:color w:val="auto"/>
        </w:rPr>
      </w:pPr>
      <w:r w:rsidRPr="00227F78">
        <w:rPr>
          <w:rFonts w:ascii="Tahoma" w:eastAsia="Times New Roman" w:hAnsi="Tahoma" w:cs="Tahoma"/>
          <w:bCs/>
          <w:color w:val="auto"/>
        </w:rPr>
        <w:t>Por</w:t>
      </w:r>
      <w:r w:rsidR="00D34898" w:rsidRPr="00227F78">
        <w:rPr>
          <w:rFonts w:ascii="Tahoma" w:eastAsia="Times New Roman" w:hAnsi="Tahoma" w:cs="Tahoma"/>
          <w:bCs/>
          <w:color w:val="auto"/>
        </w:rPr>
        <w:t xml:space="preserve"> lo anterior, se obs</w:t>
      </w:r>
      <w:r w:rsidR="00760198">
        <w:rPr>
          <w:rFonts w:ascii="Tahoma" w:eastAsia="Times New Roman" w:hAnsi="Tahoma" w:cs="Tahoma"/>
          <w:bCs/>
          <w:color w:val="auto"/>
        </w:rPr>
        <w:t xml:space="preserve">ervó que la entidad Territorial </w:t>
      </w:r>
      <w:r w:rsidRPr="00760198">
        <w:rPr>
          <w:rFonts w:ascii="Tahoma" w:eastAsia="Times New Roman" w:hAnsi="Tahoma" w:cs="Tahoma"/>
          <w:b/>
          <w:bCs/>
          <w:color w:val="auto"/>
          <w:u w:val="single"/>
        </w:rPr>
        <w:t>c</w:t>
      </w:r>
      <w:r w:rsidRPr="00227F78">
        <w:rPr>
          <w:rFonts w:ascii="Tahoma" w:eastAsia="Times New Roman" w:hAnsi="Tahoma" w:cs="Tahoma"/>
          <w:b/>
          <w:bCs/>
          <w:color w:val="auto"/>
          <w:u w:val="single"/>
        </w:rPr>
        <w:t>umplió</w:t>
      </w:r>
      <w:r w:rsidRPr="00227F78">
        <w:rPr>
          <w:rFonts w:ascii="Tahoma" w:eastAsia="Times New Roman" w:hAnsi="Tahoma" w:cs="Tahoma"/>
          <w:bCs/>
          <w:color w:val="auto"/>
        </w:rPr>
        <w:t xml:space="preserve"> con lo Establecido en la ley 617 de 2000, toda vez que le transfirió a la personería Municipal la suma de </w:t>
      </w:r>
      <w:r w:rsidR="00425FF4" w:rsidRPr="001C01E8">
        <w:rPr>
          <w:rFonts w:ascii="Tahoma" w:eastAsia="Times New Roman" w:hAnsi="Tahoma" w:cs="Tahoma"/>
          <w:b/>
          <w:bCs/>
          <w:color w:val="auto"/>
        </w:rPr>
        <w:t>$9</w:t>
      </w:r>
      <w:r w:rsidR="00A43FC3" w:rsidRPr="001C01E8">
        <w:rPr>
          <w:rFonts w:ascii="Tahoma" w:eastAsia="Times New Roman" w:hAnsi="Tahoma" w:cs="Tahoma"/>
          <w:b/>
          <w:bCs/>
          <w:color w:val="auto"/>
        </w:rPr>
        <w:t>6.65</w:t>
      </w:r>
      <w:r w:rsidR="00E00C8E">
        <w:rPr>
          <w:rFonts w:ascii="Tahoma" w:eastAsia="Times New Roman" w:hAnsi="Tahoma" w:cs="Tahoma"/>
          <w:b/>
          <w:bCs/>
          <w:color w:val="auto"/>
        </w:rPr>
        <w:t>2</w:t>
      </w:r>
      <w:r w:rsidR="00A43FC3" w:rsidRPr="001C01E8">
        <w:rPr>
          <w:rFonts w:ascii="Tahoma" w:eastAsia="Times New Roman" w:hAnsi="Tahoma" w:cs="Tahoma"/>
          <w:b/>
          <w:bCs/>
          <w:color w:val="auto"/>
        </w:rPr>
        <w:t>.</w:t>
      </w:r>
      <w:r w:rsidR="00E00C8E">
        <w:rPr>
          <w:rFonts w:ascii="Tahoma" w:eastAsia="Times New Roman" w:hAnsi="Tahoma" w:cs="Tahoma"/>
          <w:b/>
          <w:bCs/>
          <w:color w:val="auto"/>
        </w:rPr>
        <w:t>5</w:t>
      </w:r>
      <w:r w:rsidR="00A43FC3" w:rsidRPr="001C01E8">
        <w:rPr>
          <w:rFonts w:ascii="Tahoma" w:eastAsia="Times New Roman" w:hAnsi="Tahoma" w:cs="Tahoma"/>
          <w:b/>
          <w:bCs/>
          <w:color w:val="auto"/>
        </w:rPr>
        <w:t>00.</w:t>
      </w:r>
      <w:r w:rsidR="00760198" w:rsidRPr="001C01E8">
        <w:rPr>
          <w:rFonts w:ascii="Tahoma" w:eastAsia="Times New Roman" w:hAnsi="Tahoma" w:cs="Tahoma"/>
          <w:b/>
          <w:bCs/>
          <w:color w:val="auto"/>
        </w:rPr>
        <w:t>oo</w:t>
      </w:r>
      <w:r w:rsidR="001C01E8" w:rsidRPr="001C01E8">
        <w:rPr>
          <w:rFonts w:ascii="Tahoma" w:eastAsia="Times New Roman" w:hAnsi="Tahoma" w:cs="Tahoma"/>
          <w:b/>
          <w:bCs/>
          <w:color w:val="auto"/>
        </w:rPr>
        <w:t>.</w:t>
      </w:r>
    </w:p>
    <w:p w:rsidR="00425FF4" w:rsidRPr="00A05F58" w:rsidRDefault="00425FF4" w:rsidP="004B7B3F">
      <w:pPr>
        <w:spacing w:before="0" w:after="0"/>
        <w:jc w:val="both"/>
        <w:rPr>
          <w:rFonts w:eastAsia="Times New Roman"/>
          <w:bCs/>
          <w:color w:val="auto"/>
          <w:sz w:val="20"/>
          <w:szCs w:val="20"/>
        </w:rPr>
      </w:pPr>
    </w:p>
    <w:p w:rsidR="00B212CE" w:rsidRPr="00776215" w:rsidRDefault="00B212CE" w:rsidP="00B212CE">
      <w:pPr>
        <w:jc w:val="center"/>
        <w:rPr>
          <w:rFonts w:ascii="Tahoma" w:hAnsi="Tahoma" w:cs="Tahoma"/>
          <w:lang w:val="es-ES" w:eastAsia="es-ES"/>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477304" w:rsidRPr="00CA76CA" w:rsidRDefault="008C7A2F" w:rsidP="00B212CE">
      <w:pPr>
        <w:rPr>
          <w:rFonts w:ascii="Tahoma" w:hAnsi="Tahoma" w:cs="Tahoma"/>
          <w:b/>
        </w:rPr>
      </w:pPr>
      <w:r w:rsidRPr="00776215">
        <w:rPr>
          <w:rFonts w:ascii="Tahoma" w:hAnsi="Tahoma" w:cs="Tahoma"/>
          <w:b/>
          <w:lang w:val="es-ES" w:eastAsia="es-ES"/>
        </w:rPr>
        <w:t xml:space="preserve">4.1  </w:t>
      </w:r>
      <w:r w:rsidRPr="00CA76CA">
        <w:rPr>
          <w:rFonts w:ascii="Tahoma" w:hAnsi="Tahoma" w:cs="Tahoma"/>
          <w:b/>
        </w:rPr>
        <w:t>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lastRenderedPageBreak/>
        <w:t xml:space="preserve">Una vez analizada la información presupuestal del municipio de </w:t>
      </w:r>
      <w:r w:rsidR="00AC23B8">
        <w:rPr>
          <w:rFonts w:ascii="Tahoma" w:hAnsi="Tahoma" w:cs="Tahoma"/>
        </w:rPr>
        <w:t>Líbano</w:t>
      </w:r>
      <w:r w:rsidR="00FB0C19">
        <w:rPr>
          <w:rFonts w:ascii="Tahoma" w:hAnsi="Tahoma" w:cs="Tahoma"/>
        </w:rPr>
        <w:t xml:space="preserve"> </w:t>
      </w:r>
      <w:r w:rsidR="004F7914" w:rsidRPr="00CA76CA">
        <w:rPr>
          <w:rFonts w:ascii="Tahoma" w:hAnsi="Tahoma" w:cs="Tahoma"/>
        </w:rPr>
        <w:t xml:space="preserve">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B44FE7">
        <w:rPr>
          <w:rFonts w:ascii="Tahoma" w:hAnsi="Tahoma" w:cs="Tahoma"/>
        </w:rPr>
        <w:t xml:space="preserve">un  </w:t>
      </w:r>
      <w:proofErr w:type="spellStart"/>
      <w:r w:rsidR="000B73D2" w:rsidRPr="000B73D2">
        <w:rPr>
          <w:rFonts w:ascii="Tahoma" w:hAnsi="Tahoma" w:cs="Tahoma"/>
          <w:b/>
          <w:u w:val="single"/>
        </w:rPr>
        <w:t>Superavit</w:t>
      </w:r>
      <w:proofErr w:type="spellEnd"/>
      <w:r w:rsidR="000B73D2">
        <w:rPr>
          <w:rFonts w:ascii="Tahoma" w:hAnsi="Tahoma" w:cs="Tahoma"/>
        </w:rPr>
        <w:t xml:space="preserve"> </w:t>
      </w:r>
      <w:r w:rsidR="004F7914" w:rsidRPr="004E212A">
        <w:rPr>
          <w:rFonts w:ascii="Tahoma" w:hAnsi="Tahoma" w:cs="Tahoma"/>
          <w:b/>
          <w:u w:val="single"/>
        </w:rPr>
        <w:t>presupuestal</w:t>
      </w:r>
      <w:r w:rsidR="004F7914" w:rsidRPr="00CA76CA">
        <w:rPr>
          <w:rFonts w:ascii="Tahoma" w:hAnsi="Tahoma" w:cs="Tahoma"/>
        </w:rPr>
        <w:t xml:space="preserve"> en la suma de </w:t>
      </w:r>
      <w:r w:rsidR="000B73D2">
        <w:rPr>
          <w:rFonts w:ascii="Tahoma" w:eastAsia="Times New Roman" w:hAnsi="Tahoma" w:cs="Tahoma"/>
          <w:color w:val="auto"/>
          <w:sz w:val="20"/>
          <w:szCs w:val="20"/>
        </w:rPr>
        <w:t xml:space="preserve">  </w:t>
      </w:r>
      <w:r w:rsidR="000B73D2" w:rsidRPr="000B73D2">
        <w:rPr>
          <w:rFonts w:ascii="Tahoma" w:eastAsia="Times New Roman" w:hAnsi="Tahoma" w:cs="Tahoma"/>
          <w:b/>
          <w:color w:val="auto"/>
        </w:rPr>
        <w:t>$1.868.856.465.oo</w:t>
      </w:r>
      <w:r w:rsidR="004F7914" w:rsidRPr="00CA76CA">
        <w:rPr>
          <w:rFonts w:ascii="Tahoma" w:hAnsi="Tahoma" w:cs="Tahoma"/>
        </w:rPr>
        <w:t>, toda vez que el Total de los Gastos comprometidos</w:t>
      </w:r>
      <w:r w:rsidR="00E52376">
        <w:rPr>
          <w:rFonts w:ascii="Tahoma" w:hAnsi="Tahoma" w:cs="Tahoma"/>
        </w:rPr>
        <w:t xml:space="preserve"> de la vigencia</w:t>
      </w:r>
      <w:r w:rsidR="004F7914" w:rsidRPr="00CA76CA">
        <w:rPr>
          <w:rFonts w:ascii="Tahoma" w:hAnsi="Tahoma" w:cs="Tahoma"/>
        </w:rPr>
        <w:t xml:space="preserve">,  fueron </w:t>
      </w:r>
      <w:r w:rsidR="004E212A">
        <w:rPr>
          <w:rFonts w:ascii="Tahoma" w:hAnsi="Tahoma" w:cs="Tahoma"/>
        </w:rPr>
        <w:t>mayore</w:t>
      </w:r>
      <w:r w:rsidR="004F7914" w:rsidRPr="00CA76CA">
        <w:rPr>
          <w:rFonts w:ascii="Tahoma" w:hAnsi="Tahoma" w:cs="Tahoma"/>
        </w:rPr>
        <w:t>s a los ingresos efectivamente recaudados.  Ver Tabla.</w:t>
      </w:r>
    </w:p>
    <w:p w:rsidR="008C7A2F" w:rsidRDefault="008C7A2F" w:rsidP="00B212CE"/>
    <w:tbl>
      <w:tblPr>
        <w:tblW w:w="6812" w:type="dxa"/>
        <w:jc w:val="center"/>
        <w:tblCellMar>
          <w:left w:w="70" w:type="dxa"/>
          <w:right w:w="70" w:type="dxa"/>
        </w:tblCellMar>
        <w:tblLook w:val="04A0" w:firstRow="1" w:lastRow="0" w:firstColumn="1" w:lastColumn="0" w:noHBand="0" w:noVBand="1"/>
      </w:tblPr>
      <w:tblGrid>
        <w:gridCol w:w="2480"/>
        <w:gridCol w:w="1910"/>
        <w:gridCol w:w="2422"/>
      </w:tblGrid>
      <w:tr w:rsidR="00B44FE7" w:rsidRPr="00B44FE7" w:rsidTr="00247035">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INGRESOS</w:t>
            </w:r>
            <w:r w:rsidRPr="00B44FE7">
              <w:rPr>
                <w:rFonts w:ascii="Tahoma" w:eastAsia="Times New Roman" w:hAnsi="Tahoma" w:cs="Tahoma"/>
                <w:color w:val="auto"/>
                <w:sz w:val="20"/>
                <w:szCs w:val="20"/>
              </w:rPr>
              <w:br/>
              <w:t xml:space="preserve">EFECTIVAMENTE RECAUDADOS </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GASTOS EFECTIVAMENTE COMPROMETIDOS </w:t>
            </w:r>
          </w:p>
        </w:tc>
        <w:tc>
          <w:tcPr>
            <w:tcW w:w="2422"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DEFICIT  O  SUPERAVIT</w:t>
            </w:r>
            <w:r w:rsidRPr="00B44FE7">
              <w:rPr>
                <w:rFonts w:ascii="Tahoma" w:eastAsia="Times New Roman" w:hAnsi="Tahoma" w:cs="Tahoma"/>
                <w:color w:val="auto"/>
                <w:sz w:val="20"/>
                <w:szCs w:val="20"/>
              </w:rPr>
              <w:br/>
              <w:t xml:space="preserve">PRESUPUESTAL </w:t>
            </w:r>
          </w:p>
        </w:tc>
      </w:tr>
      <w:tr w:rsidR="00B44FE7" w:rsidRPr="00B44FE7" w:rsidTr="00247035">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44FE7" w:rsidRPr="00B44FE7" w:rsidRDefault="00B44FE7" w:rsidP="00083F3C">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083F3C">
              <w:rPr>
                <w:rFonts w:ascii="Tahoma" w:eastAsia="Times New Roman" w:hAnsi="Tahoma" w:cs="Tahoma"/>
                <w:color w:val="auto"/>
                <w:sz w:val="20"/>
                <w:szCs w:val="20"/>
              </w:rPr>
              <w:t>38.970.597.612</w:t>
            </w:r>
            <w:r w:rsidR="00FA0402">
              <w:rPr>
                <w:rFonts w:ascii="Tahoma" w:eastAsia="Times New Roman" w:hAnsi="Tahoma" w:cs="Tahoma"/>
                <w:color w:val="auto"/>
                <w:sz w:val="20"/>
                <w:szCs w:val="20"/>
              </w:rPr>
              <w:t>.oo</w:t>
            </w:r>
          </w:p>
        </w:tc>
        <w:tc>
          <w:tcPr>
            <w:tcW w:w="191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AC23B8">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C37791">
              <w:rPr>
                <w:rFonts w:ascii="Tahoma" w:eastAsia="Times New Roman" w:hAnsi="Tahoma" w:cs="Tahoma"/>
                <w:color w:val="auto"/>
                <w:sz w:val="20"/>
                <w:szCs w:val="20"/>
              </w:rPr>
              <w:t>3</w:t>
            </w:r>
            <w:r w:rsidR="00AC23B8">
              <w:rPr>
                <w:rFonts w:ascii="Tahoma" w:eastAsia="Times New Roman" w:hAnsi="Tahoma" w:cs="Tahoma"/>
                <w:color w:val="auto"/>
                <w:sz w:val="20"/>
                <w:szCs w:val="20"/>
              </w:rPr>
              <w:t>7.101.741.147.</w:t>
            </w:r>
            <w:r w:rsidR="0014289A">
              <w:rPr>
                <w:rFonts w:ascii="Tahoma" w:eastAsia="Times New Roman" w:hAnsi="Tahoma" w:cs="Tahoma"/>
                <w:color w:val="auto"/>
                <w:sz w:val="20"/>
                <w:szCs w:val="20"/>
              </w:rPr>
              <w:t>oo</w:t>
            </w:r>
            <w:r w:rsidRPr="00B44FE7">
              <w:rPr>
                <w:rFonts w:ascii="Tahoma" w:eastAsia="Times New Roman" w:hAnsi="Tahoma" w:cs="Tahoma"/>
                <w:color w:val="auto"/>
                <w:sz w:val="20"/>
                <w:szCs w:val="20"/>
              </w:rPr>
              <w:t xml:space="preserve"> </w:t>
            </w:r>
          </w:p>
        </w:tc>
        <w:tc>
          <w:tcPr>
            <w:tcW w:w="2422"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370EC1">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sidRPr="00247035">
              <w:rPr>
                <w:rFonts w:ascii="Tahoma" w:eastAsia="Times New Roman" w:hAnsi="Tahoma" w:cs="Tahoma"/>
                <w:color w:val="auto"/>
                <w:sz w:val="20"/>
                <w:szCs w:val="20"/>
              </w:rPr>
              <w:t>$</w:t>
            </w:r>
            <w:r w:rsidR="00370EC1">
              <w:rPr>
                <w:rFonts w:ascii="Tahoma" w:eastAsia="Times New Roman" w:hAnsi="Tahoma" w:cs="Tahoma"/>
                <w:color w:val="auto"/>
                <w:sz w:val="20"/>
                <w:szCs w:val="20"/>
              </w:rPr>
              <w:t>1.868.856.465</w:t>
            </w:r>
            <w:r w:rsidR="0014289A">
              <w:rPr>
                <w:rFonts w:ascii="Tahoma" w:eastAsia="Times New Roman" w:hAnsi="Tahoma" w:cs="Tahoma"/>
                <w:color w:val="auto"/>
                <w:sz w:val="20"/>
                <w:szCs w:val="20"/>
              </w:rPr>
              <w:t>.oo</w:t>
            </w:r>
            <w:r w:rsidRPr="00B44FE7">
              <w:rPr>
                <w:rFonts w:ascii="Tahoma" w:eastAsia="Times New Roman" w:hAnsi="Tahoma" w:cs="Tahoma"/>
                <w:color w:val="auto"/>
                <w:sz w:val="20"/>
                <w:szCs w:val="20"/>
              </w:rPr>
              <w:t xml:space="preserve"> </w:t>
            </w:r>
          </w:p>
        </w:tc>
      </w:tr>
    </w:tbl>
    <w:p w:rsidR="00477304" w:rsidRDefault="00477304" w:rsidP="00B212CE"/>
    <w:p w:rsidR="005C0DCB" w:rsidRDefault="00BD4C82" w:rsidP="0045772A">
      <w:pPr>
        <w:jc w:val="both"/>
        <w:rPr>
          <w:rFonts w:ascii="Tahoma" w:hAnsi="Tahoma" w:cs="Tahoma"/>
          <w:b/>
          <w:sz w:val="16"/>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r w:rsidR="005C0DCB">
        <w:rPr>
          <w:rFonts w:ascii="Tahoma" w:hAnsi="Tahoma" w:cs="Tahoma"/>
          <w:b/>
          <w:sz w:val="16"/>
        </w:rPr>
        <w:tab/>
      </w:r>
    </w:p>
    <w:sectPr w:rsidR="005C0DCB" w:rsidSect="005F4548">
      <w:headerReference w:type="default" r:id="rId15"/>
      <w:footerReference w:type="default" r:id="rId16"/>
      <w:pgSz w:w="12242" w:h="15842" w:code="1"/>
      <w:pgMar w:top="1985" w:right="1701" w:bottom="1417"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A63" w:rsidRDefault="00A56A63" w:rsidP="00650A99">
      <w:r>
        <w:separator/>
      </w:r>
    </w:p>
  </w:endnote>
  <w:endnote w:type="continuationSeparator" w:id="0">
    <w:p w:rsidR="00A56A63" w:rsidRDefault="00A56A63"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BA" w:rsidRPr="00070555" w:rsidRDefault="00F82FBA">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4DBCDECC" wp14:editId="61BC0D73">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F82FBA" w:rsidRPr="00BB3D88"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F82FBA" w:rsidRPr="003205FF" w:rsidRDefault="00F87643"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F82FBA" w:rsidRPr="003205FF">
                              <w:rPr>
                                <w:rStyle w:val="Hipervnculo"/>
                                <w:rFonts w:ascii="Tahoma" w:hAnsi="Tahoma" w:cs="Tahoma"/>
                                <w:color w:val="auto"/>
                                <w:sz w:val="18"/>
                                <w:szCs w:val="18"/>
                                <w:u w:val="none"/>
                              </w:rPr>
                              <w:t>despacho.contraloria@contraloriatolima.gov.co</w:t>
                            </w:r>
                          </w:hyperlink>
                        </w:p>
                        <w:p w:rsidR="00F82FBA" w:rsidRPr="000352F0" w:rsidRDefault="00F82FBA"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F82FBA" w:rsidRPr="00BB3D88" w:rsidRDefault="00F82FBA"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F82FBA" w:rsidRPr="00A926CE" w:rsidRDefault="00F82FBA"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BCDECC"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F82FBA" w:rsidRPr="00BB3D88"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F82FBA" w:rsidRPr="003205FF" w:rsidRDefault="00F87643"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F82FBA" w:rsidRPr="003205FF">
                        <w:rPr>
                          <w:rStyle w:val="Hipervnculo"/>
                          <w:rFonts w:ascii="Tahoma" w:hAnsi="Tahoma" w:cs="Tahoma"/>
                          <w:color w:val="auto"/>
                          <w:sz w:val="18"/>
                          <w:szCs w:val="18"/>
                          <w:u w:val="none"/>
                        </w:rPr>
                        <w:t>despacho.contraloria@contraloriatolima.gov.co</w:t>
                      </w:r>
                    </w:hyperlink>
                  </w:p>
                  <w:p w:rsidR="00F82FBA" w:rsidRPr="000352F0" w:rsidRDefault="00F82FBA"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F82FBA" w:rsidRPr="00BB3D88" w:rsidRDefault="00F82FBA"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F82FBA" w:rsidRPr="00A926CE" w:rsidRDefault="00F82FBA"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065CF0B6" wp14:editId="368B3A3A">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F82FBA" w:rsidRPr="003205FF" w:rsidRDefault="00B174B3" w:rsidP="00B6483D">
                          <w:pPr>
                            <w:jc w:val="center"/>
                            <w:rPr>
                              <w:rFonts w:ascii="Tahoma" w:hAnsi="Tahoma" w:cs="Tahoma"/>
                              <w:sz w:val="14"/>
                              <w:szCs w:val="16"/>
                            </w:rPr>
                          </w:pPr>
                          <w:r>
                            <w:rPr>
                              <w:rFonts w:ascii="Tahoma" w:hAnsi="Tahoma" w:cs="Tahoma"/>
                              <w:sz w:val="14"/>
                              <w:szCs w:val="16"/>
                            </w:rPr>
                            <w:t>10</w:t>
                          </w:r>
                          <w:r w:rsidR="00F82FBA" w:rsidRPr="003205FF">
                            <w:rPr>
                              <w:rFonts w:ascii="Tahoma" w:hAnsi="Tahoma" w:cs="Tahoma"/>
                              <w:sz w:val="12"/>
                              <w:szCs w:val="16"/>
                              <w:lang w:val="es-ES"/>
                            </w:rPr>
                            <w:t xml:space="preserve"> de </w:t>
                          </w:r>
                          <w:r w:rsidR="00F82FBA" w:rsidRPr="003205FF">
                            <w:rPr>
                              <w:rFonts w:ascii="Tahoma" w:hAnsi="Tahoma" w:cs="Tahoma"/>
                              <w:sz w:val="14"/>
                              <w:szCs w:val="16"/>
                            </w:rPr>
                            <w:fldChar w:fldCharType="begin"/>
                          </w:r>
                          <w:r w:rsidR="00F82FBA" w:rsidRPr="003205FF">
                            <w:rPr>
                              <w:rFonts w:ascii="Tahoma" w:hAnsi="Tahoma" w:cs="Tahoma"/>
                              <w:sz w:val="14"/>
                              <w:szCs w:val="16"/>
                            </w:rPr>
                            <w:instrText>NUMPAGES  \* Arabic  \* MERGEFORMAT</w:instrText>
                          </w:r>
                          <w:r w:rsidR="00F82FBA" w:rsidRPr="003205FF">
                            <w:rPr>
                              <w:rFonts w:ascii="Tahoma" w:hAnsi="Tahoma" w:cs="Tahoma"/>
                              <w:sz w:val="14"/>
                              <w:szCs w:val="16"/>
                            </w:rPr>
                            <w:fldChar w:fldCharType="separate"/>
                          </w:r>
                          <w:r w:rsidR="00F87643" w:rsidRPr="00F87643">
                            <w:rPr>
                              <w:rFonts w:ascii="Tahoma" w:hAnsi="Tahoma" w:cs="Tahoma"/>
                              <w:noProof/>
                              <w:sz w:val="14"/>
                              <w:szCs w:val="16"/>
                              <w:lang w:val="es-ES"/>
                            </w:rPr>
                            <w:t>10</w:t>
                          </w:r>
                          <w:r w:rsidR="00F82FBA"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CF0B6"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F82FBA" w:rsidRPr="003205FF" w:rsidRDefault="00B174B3" w:rsidP="00B6483D">
                    <w:pPr>
                      <w:jc w:val="center"/>
                      <w:rPr>
                        <w:rFonts w:ascii="Tahoma" w:hAnsi="Tahoma" w:cs="Tahoma"/>
                        <w:sz w:val="14"/>
                        <w:szCs w:val="16"/>
                      </w:rPr>
                    </w:pPr>
                    <w:r>
                      <w:rPr>
                        <w:rFonts w:ascii="Tahoma" w:hAnsi="Tahoma" w:cs="Tahoma"/>
                        <w:sz w:val="14"/>
                        <w:szCs w:val="16"/>
                      </w:rPr>
                      <w:t>10</w:t>
                    </w:r>
                    <w:r w:rsidR="00F82FBA" w:rsidRPr="003205FF">
                      <w:rPr>
                        <w:rFonts w:ascii="Tahoma" w:hAnsi="Tahoma" w:cs="Tahoma"/>
                        <w:sz w:val="12"/>
                        <w:szCs w:val="16"/>
                        <w:lang w:val="es-ES"/>
                      </w:rPr>
                      <w:t xml:space="preserve"> de </w:t>
                    </w:r>
                    <w:r w:rsidR="00F82FBA" w:rsidRPr="003205FF">
                      <w:rPr>
                        <w:rFonts w:ascii="Tahoma" w:hAnsi="Tahoma" w:cs="Tahoma"/>
                        <w:sz w:val="14"/>
                        <w:szCs w:val="16"/>
                      </w:rPr>
                      <w:fldChar w:fldCharType="begin"/>
                    </w:r>
                    <w:r w:rsidR="00F82FBA" w:rsidRPr="003205FF">
                      <w:rPr>
                        <w:rFonts w:ascii="Tahoma" w:hAnsi="Tahoma" w:cs="Tahoma"/>
                        <w:sz w:val="14"/>
                        <w:szCs w:val="16"/>
                      </w:rPr>
                      <w:instrText>NUMPAGES  \* Arabic  \* MERGEFORMAT</w:instrText>
                    </w:r>
                    <w:r w:rsidR="00F82FBA" w:rsidRPr="003205FF">
                      <w:rPr>
                        <w:rFonts w:ascii="Tahoma" w:hAnsi="Tahoma" w:cs="Tahoma"/>
                        <w:sz w:val="14"/>
                        <w:szCs w:val="16"/>
                      </w:rPr>
                      <w:fldChar w:fldCharType="separate"/>
                    </w:r>
                    <w:r w:rsidR="00F87643" w:rsidRPr="00F87643">
                      <w:rPr>
                        <w:rFonts w:ascii="Tahoma" w:hAnsi="Tahoma" w:cs="Tahoma"/>
                        <w:noProof/>
                        <w:sz w:val="14"/>
                        <w:szCs w:val="16"/>
                        <w:lang w:val="es-ES"/>
                      </w:rPr>
                      <w:t>10</w:t>
                    </w:r>
                    <w:r w:rsidR="00F82FBA" w:rsidRPr="003205FF">
                      <w:rPr>
                        <w:rFonts w:ascii="Tahoma" w:hAnsi="Tahoma" w:cs="Tahoma"/>
                        <w:sz w:val="14"/>
                        <w:szCs w:val="16"/>
                      </w:rPr>
                      <w:fldChar w:fldCharType="end"/>
                    </w:r>
                  </w:p>
                </w:txbxContent>
              </v:textbox>
            </v:shape>
          </w:pict>
        </mc:Fallback>
      </mc:AlternateContent>
    </w:r>
  </w:p>
  <w:p w:rsidR="00F82FBA" w:rsidRPr="00070555" w:rsidRDefault="00F82FBA">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A63" w:rsidRDefault="00A56A63" w:rsidP="00650A99">
      <w:r>
        <w:separator/>
      </w:r>
    </w:p>
  </w:footnote>
  <w:footnote w:type="continuationSeparator" w:id="0">
    <w:p w:rsidR="00A56A63" w:rsidRDefault="00A56A63"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BA" w:rsidRPr="00124F58" w:rsidRDefault="00706636">
    <w:pPr>
      <w:pStyle w:val="Encabezado"/>
      <w:rPr>
        <w:rFonts w:ascii="Tahoma" w:hAnsi="Tahoma" w:cs="Tahoma"/>
        <w:sz w:val="8"/>
      </w:rPr>
    </w:pPr>
    <w:r>
      <w:rPr>
        <w:rFonts w:ascii="Tahoma" w:hAnsi="Tahoma" w:cs="Tahoma"/>
        <w:noProof/>
        <w:sz w:val="8"/>
      </w:rPr>
      <w:drawing>
        <wp:inline distT="0" distB="0" distL="0" distR="0">
          <wp:extent cx="1571625" cy="1219200"/>
          <wp:effectExtent l="0" t="0" r="952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44803470"/>
    <w:multiLevelType w:val="multilevel"/>
    <w:tmpl w:val="DF4E5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124"/>
    <w:rsid w:val="00001B0E"/>
    <w:rsid w:val="00003666"/>
    <w:rsid w:val="000043A7"/>
    <w:rsid w:val="0000440B"/>
    <w:rsid w:val="0000466A"/>
    <w:rsid w:val="00004FE1"/>
    <w:rsid w:val="0000509C"/>
    <w:rsid w:val="00013B72"/>
    <w:rsid w:val="00014DDB"/>
    <w:rsid w:val="000229B5"/>
    <w:rsid w:val="00025419"/>
    <w:rsid w:val="00025DD5"/>
    <w:rsid w:val="00030FBE"/>
    <w:rsid w:val="000344EC"/>
    <w:rsid w:val="0003468E"/>
    <w:rsid w:val="000352F0"/>
    <w:rsid w:val="0003642F"/>
    <w:rsid w:val="000366A8"/>
    <w:rsid w:val="000367BB"/>
    <w:rsid w:val="00040B1A"/>
    <w:rsid w:val="00043E5E"/>
    <w:rsid w:val="000448FA"/>
    <w:rsid w:val="00044A36"/>
    <w:rsid w:val="00044B50"/>
    <w:rsid w:val="000479B3"/>
    <w:rsid w:val="00054A9B"/>
    <w:rsid w:val="00054CD9"/>
    <w:rsid w:val="0006131A"/>
    <w:rsid w:val="00062C97"/>
    <w:rsid w:val="000653AB"/>
    <w:rsid w:val="00067E63"/>
    <w:rsid w:val="00070555"/>
    <w:rsid w:val="000711BD"/>
    <w:rsid w:val="000714F0"/>
    <w:rsid w:val="0007281C"/>
    <w:rsid w:val="00072FEB"/>
    <w:rsid w:val="00073152"/>
    <w:rsid w:val="00073B9C"/>
    <w:rsid w:val="000740A1"/>
    <w:rsid w:val="00074463"/>
    <w:rsid w:val="00075575"/>
    <w:rsid w:val="000768A7"/>
    <w:rsid w:val="00081209"/>
    <w:rsid w:val="00081BF9"/>
    <w:rsid w:val="000820BD"/>
    <w:rsid w:val="00083F3C"/>
    <w:rsid w:val="00084A9E"/>
    <w:rsid w:val="00084FFA"/>
    <w:rsid w:val="00092425"/>
    <w:rsid w:val="00093AFB"/>
    <w:rsid w:val="00094D4C"/>
    <w:rsid w:val="000A1063"/>
    <w:rsid w:val="000B1067"/>
    <w:rsid w:val="000B1E37"/>
    <w:rsid w:val="000B2584"/>
    <w:rsid w:val="000B334F"/>
    <w:rsid w:val="000B45AA"/>
    <w:rsid w:val="000B720D"/>
    <w:rsid w:val="000B73D2"/>
    <w:rsid w:val="000B79B3"/>
    <w:rsid w:val="000C19B8"/>
    <w:rsid w:val="000C2451"/>
    <w:rsid w:val="000C2D28"/>
    <w:rsid w:val="000C3079"/>
    <w:rsid w:val="000C524A"/>
    <w:rsid w:val="000C640F"/>
    <w:rsid w:val="000C699D"/>
    <w:rsid w:val="000D213C"/>
    <w:rsid w:val="000D251E"/>
    <w:rsid w:val="000D2896"/>
    <w:rsid w:val="000D34F0"/>
    <w:rsid w:val="000D715E"/>
    <w:rsid w:val="000D734C"/>
    <w:rsid w:val="000E117C"/>
    <w:rsid w:val="000E1A99"/>
    <w:rsid w:val="000E644B"/>
    <w:rsid w:val="000E6AAA"/>
    <w:rsid w:val="000F17B4"/>
    <w:rsid w:val="000F2E89"/>
    <w:rsid w:val="000F4FA1"/>
    <w:rsid w:val="000F5879"/>
    <w:rsid w:val="000F669B"/>
    <w:rsid w:val="0010060F"/>
    <w:rsid w:val="0010414B"/>
    <w:rsid w:val="001055EC"/>
    <w:rsid w:val="001076B9"/>
    <w:rsid w:val="001077DC"/>
    <w:rsid w:val="00111B97"/>
    <w:rsid w:val="00113518"/>
    <w:rsid w:val="00120691"/>
    <w:rsid w:val="001206EF"/>
    <w:rsid w:val="00124F58"/>
    <w:rsid w:val="001301DF"/>
    <w:rsid w:val="00131163"/>
    <w:rsid w:val="001311B6"/>
    <w:rsid w:val="00131E4E"/>
    <w:rsid w:val="00132C47"/>
    <w:rsid w:val="00133B74"/>
    <w:rsid w:val="0013431C"/>
    <w:rsid w:val="001361E3"/>
    <w:rsid w:val="0014091C"/>
    <w:rsid w:val="0014289A"/>
    <w:rsid w:val="0014349F"/>
    <w:rsid w:val="0014355A"/>
    <w:rsid w:val="0014403D"/>
    <w:rsid w:val="00146B0F"/>
    <w:rsid w:val="00147309"/>
    <w:rsid w:val="0015068C"/>
    <w:rsid w:val="00150761"/>
    <w:rsid w:val="00150875"/>
    <w:rsid w:val="001531E5"/>
    <w:rsid w:val="00153A3B"/>
    <w:rsid w:val="001542DE"/>
    <w:rsid w:val="001605A0"/>
    <w:rsid w:val="0016372F"/>
    <w:rsid w:val="00163FB1"/>
    <w:rsid w:val="001641C1"/>
    <w:rsid w:val="00164C7B"/>
    <w:rsid w:val="00164E1E"/>
    <w:rsid w:val="001663AE"/>
    <w:rsid w:val="00166D26"/>
    <w:rsid w:val="0017250D"/>
    <w:rsid w:val="001734CC"/>
    <w:rsid w:val="00174209"/>
    <w:rsid w:val="00174ED6"/>
    <w:rsid w:val="001750E0"/>
    <w:rsid w:val="00176EEF"/>
    <w:rsid w:val="001771C0"/>
    <w:rsid w:val="00181EE3"/>
    <w:rsid w:val="0018299A"/>
    <w:rsid w:val="0018596D"/>
    <w:rsid w:val="001863EB"/>
    <w:rsid w:val="00196F51"/>
    <w:rsid w:val="001A3646"/>
    <w:rsid w:val="001A5473"/>
    <w:rsid w:val="001B0E71"/>
    <w:rsid w:val="001B29EB"/>
    <w:rsid w:val="001B475A"/>
    <w:rsid w:val="001B6C00"/>
    <w:rsid w:val="001B7E9B"/>
    <w:rsid w:val="001C01E8"/>
    <w:rsid w:val="001C1E2D"/>
    <w:rsid w:val="001C1EA3"/>
    <w:rsid w:val="001C4742"/>
    <w:rsid w:val="001C5A39"/>
    <w:rsid w:val="001C7699"/>
    <w:rsid w:val="001D01D1"/>
    <w:rsid w:val="001D1380"/>
    <w:rsid w:val="001D1B45"/>
    <w:rsid w:val="001D31AB"/>
    <w:rsid w:val="001D3576"/>
    <w:rsid w:val="001D5CA9"/>
    <w:rsid w:val="001D6862"/>
    <w:rsid w:val="001D7D6A"/>
    <w:rsid w:val="001E008D"/>
    <w:rsid w:val="001E0386"/>
    <w:rsid w:val="001E09D9"/>
    <w:rsid w:val="001E0C5A"/>
    <w:rsid w:val="001E1930"/>
    <w:rsid w:val="001E19D5"/>
    <w:rsid w:val="001E2CF6"/>
    <w:rsid w:val="001E479B"/>
    <w:rsid w:val="001F0D65"/>
    <w:rsid w:val="001F11A4"/>
    <w:rsid w:val="001F3599"/>
    <w:rsid w:val="001F3E0C"/>
    <w:rsid w:val="001F4762"/>
    <w:rsid w:val="001F7AEE"/>
    <w:rsid w:val="002016AE"/>
    <w:rsid w:val="00201E97"/>
    <w:rsid w:val="00202B7B"/>
    <w:rsid w:val="002049C5"/>
    <w:rsid w:val="00211946"/>
    <w:rsid w:val="00213F57"/>
    <w:rsid w:val="00214DD0"/>
    <w:rsid w:val="00216974"/>
    <w:rsid w:val="00217489"/>
    <w:rsid w:val="002206E8"/>
    <w:rsid w:val="00224140"/>
    <w:rsid w:val="00226503"/>
    <w:rsid w:val="00227F78"/>
    <w:rsid w:val="00230103"/>
    <w:rsid w:val="00231648"/>
    <w:rsid w:val="00231AC8"/>
    <w:rsid w:val="00231ECA"/>
    <w:rsid w:val="00233415"/>
    <w:rsid w:val="00247035"/>
    <w:rsid w:val="00250B2A"/>
    <w:rsid w:val="002510E7"/>
    <w:rsid w:val="00254A87"/>
    <w:rsid w:val="0025641D"/>
    <w:rsid w:val="00256442"/>
    <w:rsid w:val="00256F6A"/>
    <w:rsid w:val="0026039E"/>
    <w:rsid w:val="002628DC"/>
    <w:rsid w:val="00264A57"/>
    <w:rsid w:val="00267A53"/>
    <w:rsid w:val="002702FE"/>
    <w:rsid w:val="00272E50"/>
    <w:rsid w:val="002733BF"/>
    <w:rsid w:val="002751D2"/>
    <w:rsid w:val="002761E7"/>
    <w:rsid w:val="00277CE1"/>
    <w:rsid w:val="00282118"/>
    <w:rsid w:val="00282A1A"/>
    <w:rsid w:val="00282AFE"/>
    <w:rsid w:val="00287CE6"/>
    <w:rsid w:val="00292AA4"/>
    <w:rsid w:val="002932E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B6D05"/>
    <w:rsid w:val="002B7EA5"/>
    <w:rsid w:val="002C19FA"/>
    <w:rsid w:val="002C24CB"/>
    <w:rsid w:val="002D376E"/>
    <w:rsid w:val="002D5091"/>
    <w:rsid w:val="002D62AF"/>
    <w:rsid w:val="002D73B8"/>
    <w:rsid w:val="002E34BD"/>
    <w:rsid w:val="002E4D5C"/>
    <w:rsid w:val="002E6C96"/>
    <w:rsid w:val="002F0376"/>
    <w:rsid w:val="002F13E5"/>
    <w:rsid w:val="002F1B9A"/>
    <w:rsid w:val="002F3B9C"/>
    <w:rsid w:val="00300E2D"/>
    <w:rsid w:val="00302682"/>
    <w:rsid w:val="003026A2"/>
    <w:rsid w:val="00303824"/>
    <w:rsid w:val="003048E3"/>
    <w:rsid w:val="003066F8"/>
    <w:rsid w:val="003141AA"/>
    <w:rsid w:val="00314840"/>
    <w:rsid w:val="00317880"/>
    <w:rsid w:val="003203FA"/>
    <w:rsid w:val="003205FF"/>
    <w:rsid w:val="00321EC8"/>
    <w:rsid w:val="00322659"/>
    <w:rsid w:val="0032401F"/>
    <w:rsid w:val="003305B2"/>
    <w:rsid w:val="003326A6"/>
    <w:rsid w:val="00332DE4"/>
    <w:rsid w:val="003372AC"/>
    <w:rsid w:val="00337AB0"/>
    <w:rsid w:val="00337E10"/>
    <w:rsid w:val="0034022F"/>
    <w:rsid w:val="00341B3E"/>
    <w:rsid w:val="00345C19"/>
    <w:rsid w:val="003509BF"/>
    <w:rsid w:val="0035110E"/>
    <w:rsid w:val="00351487"/>
    <w:rsid w:val="003522CA"/>
    <w:rsid w:val="0035231F"/>
    <w:rsid w:val="003539AE"/>
    <w:rsid w:val="003559D7"/>
    <w:rsid w:val="00356B3F"/>
    <w:rsid w:val="00362AAB"/>
    <w:rsid w:val="00367CB1"/>
    <w:rsid w:val="00370EC1"/>
    <w:rsid w:val="00370F6C"/>
    <w:rsid w:val="00372933"/>
    <w:rsid w:val="00372F40"/>
    <w:rsid w:val="00373B6D"/>
    <w:rsid w:val="003751E2"/>
    <w:rsid w:val="00375CC7"/>
    <w:rsid w:val="00382640"/>
    <w:rsid w:val="003834EF"/>
    <w:rsid w:val="00383D8B"/>
    <w:rsid w:val="00391503"/>
    <w:rsid w:val="0039183D"/>
    <w:rsid w:val="00391C14"/>
    <w:rsid w:val="00392FBA"/>
    <w:rsid w:val="00394BA1"/>
    <w:rsid w:val="0039515F"/>
    <w:rsid w:val="003956E5"/>
    <w:rsid w:val="00396E50"/>
    <w:rsid w:val="0039725F"/>
    <w:rsid w:val="00397766"/>
    <w:rsid w:val="003A15E7"/>
    <w:rsid w:val="003A2A88"/>
    <w:rsid w:val="003A4812"/>
    <w:rsid w:val="003A497B"/>
    <w:rsid w:val="003A5822"/>
    <w:rsid w:val="003B030A"/>
    <w:rsid w:val="003B35B9"/>
    <w:rsid w:val="003B6AFE"/>
    <w:rsid w:val="003C13D1"/>
    <w:rsid w:val="003C2C8D"/>
    <w:rsid w:val="003C33E8"/>
    <w:rsid w:val="003C3845"/>
    <w:rsid w:val="003C5E57"/>
    <w:rsid w:val="003C703A"/>
    <w:rsid w:val="003D1976"/>
    <w:rsid w:val="003D4B2C"/>
    <w:rsid w:val="003D5FB8"/>
    <w:rsid w:val="003D7840"/>
    <w:rsid w:val="003F0FDF"/>
    <w:rsid w:val="003F4BDE"/>
    <w:rsid w:val="003F512B"/>
    <w:rsid w:val="003F5E08"/>
    <w:rsid w:val="00400814"/>
    <w:rsid w:val="00401619"/>
    <w:rsid w:val="00403019"/>
    <w:rsid w:val="004032C1"/>
    <w:rsid w:val="00406E90"/>
    <w:rsid w:val="00407637"/>
    <w:rsid w:val="00407773"/>
    <w:rsid w:val="004120E2"/>
    <w:rsid w:val="00415CC3"/>
    <w:rsid w:val="00425FF4"/>
    <w:rsid w:val="004260B3"/>
    <w:rsid w:val="00426414"/>
    <w:rsid w:val="00430D77"/>
    <w:rsid w:val="004312CF"/>
    <w:rsid w:val="0043141A"/>
    <w:rsid w:val="00433EE8"/>
    <w:rsid w:val="00441F50"/>
    <w:rsid w:val="00441F85"/>
    <w:rsid w:val="0044795F"/>
    <w:rsid w:val="00452E65"/>
    <w:rsid w:val="00454315"/>
    <w:rsid w:val="00454B8B"/>
    <w:rsid w:val="0045772A"/>
    <w:rsid w:val="004643ED"/>
    <w:rsid w:val="0046718C"/>
    <w:rsid w:val="00467508"/>
    <w:rsid w:val="00467595"/>
    <w:rsid w:val="00471A9A"/>
    <w:rsid w:val="00472801"/>
    <w:rsid w:val="00473EB7"/>
    <w:rsid w:val="004761AF"/>
    <w:rsid w:val="00477304"/>
    <w:rsid w:val="004803CC"/>
    <w:rsid w:val="00480FCA"/>
    <w:rsid w:val="00481340"/>
    <w:rsid w:val="00481490"/>
    <w:rsid w:val="0048203B"/>
    <w:rsid w:val="00482348"/>
    <w:rsid w:val="0048241E"/>
    <w:rsid w:val="00485A4C"/>
    <w:rsid w:val="00487931"/>
    <w:rsid w:val="00490E57"/>
    <w:rsid w:val="00493608"/>
    <w:rsid w:val="004939F0"/>
    <w:rsid w:val="00493CDB"/>
    <w:rsid w:val="00494AA1"/>
    <w:rsid w:val="00496012"/>
    <w:rsid w:val="00496461"/>
    <w:rsid w:val="00496A15"/>
    <w:rsid w:val="004A00E3"/>
    <w:rsid w:val="004A24B6"/>
    <w:rsid w:val="004A6393"/>
    <w:rsid w:val="004A698D"/>
    <w:rsid w:val="004A7153"/>
    <w:rsid w:val="004B10C8"/>
    <w:rsid w:val="004B1676"/>
    <w:rsid w:val="004B3739"/>
    <w:rsid w:val="004B3A5F"/>
    <w:rsid w:val="004B6845"/>
    <w:rsid w:val="004B6F3C"/>
    <w:rsid w:val="004B791D"/>
    <w:rsid w:val="004B7B3F"/>
    <w:rsid w:val="004B7C3B"/>
    <w:rsid w:val="004C10FE"/>
    <w:rsid w:val="004C250E"/>
    <w:rsid w:val="004C27B6"/>
    <w:rsid w:val="004C4E76"/>
    <w:rsid w:val="004C4EC5"/>
    <w:rsid w:val="004D0347"/>
    <w:rsid w:val="004D13A4"/>
    <w:rsid w:val="004D53B6"/>
    <w:rsid w:val="004E028D"/>
    <w:rsid w:val="004E0A6B"/>
    <w:rsid w:val="004E1489"/>
    <w:rsid w:val="004E17F3"/>
    <w:rsid w:val="004E212A"/>
    <w:rsid w:val="004E217B"/>
    <w:rsid w:val="004E3F57"/>
    <w:rsid w:val="004E585C"/>
    <w:rsid w:val="004E5B7D"/>
    <w:rsid w:val="004E655D"/>
    <w:rsid w:val="004E7767"/>
    <w:rsid w:val="004F0F16"/>
    <w:rsid w:val="004F2F93"/>
    <w:rsid w:val="004F372B"/>
    <w:rsid w:val="004F38FE"/>
    <w:rsid w:val="004F758C"/>
    <w:rsid w:val="004F7914"/>
    <w:rsid w:val="004F7C44"/>
    <w:rsid w:val="0050051E"/>
    <w:rsid w:val="00502C12"/>
    <w:rsid w:val="00504C03"/>
    <w:rsid w:val="00505067"/>
    <w:rsid w:val="00505A4E"/>
    <w:rsid w:val="005073CF"/>
    <w:rsid w:val="005105EA"/>
    <w:rsid w:val="00511C4D"/>
    <w:rsid w:val="00513557"/>
    <w:rsid w:val="00515066"/>
    <w:rsid w:val="005150C9"/>
    <w:rsid w:val="00515BBF"/>
    <w:rsid w:val="00516441"/>
    <w:rsid w:val="00516E68"/>
    <w:rsid w:val="005172FE"/>
    <w:rsid w:val="00517351"/>
    <w:rsid w:val="00517C86"/>
    <w:rsid w:val="00520FA4"/>
    <w:rsid w:val="00521391"/>
    <w:rsid w:val="005220BC"/>
    <w:rsid w:val="00522858"/>
    <w:rsid w:val="00523B2E"/>
    <w:rsid w:val="00524E1D"/>
    <w:rsid w:val="0052650A"/>
    <w:rsid w:val="00526C01"/>
    <w:rsid w:val="00527649"/>
    <w:rsid w:val="005279E8"/>
    <w:rsid w:val="005325B4"/>
    <w:rsid w:val="0053385B"/>
    <w:rsid w:val="00536B82"/>
    <w:rsid w:val="0054263E"/>
    <w:rsid w:val="005427C3"/>
    <w:rsid w:val="005463E0"/>
    <w:rsid w:val="00546D17"/>
    <w:rsid w:val="0054739F"/>
    <w:rsid w:val="00551911"/>
    <w:rsid w:val="00551920"/>
    <w:rsid w:val="00552A0E"/>
    <w:rsid w:val="00552B7F"/>
    <w:rsid w:val="00552CB9"/>
    <w:rsid w:val="0055306E"/>
    <w:rsid w:val="005540CE"/>
    <w:rsid w:val="00554A6E"/>
    <w:rsid w:val="00560B0C"/>
    <w:rsid w:val="00562B5C"/>
    <w:rsid w:val="00563CF0"/>
    <w:rsid w:val="00563D53"/>
    <w:rsid w:val="00564B66"/>
    <w:rsid w:val="00565F73"/>
    <w:rsid w:val="0056750E"/>
    <w:rsid w:val="00567980"/>
    <w:rsid w:val="005679E4"/>
    <w:rsid w:val="00570EEE"/>
    <w:rsid w:val="00571490"/>
    <w:rsid w:val="005753DA"/>
    <w:rsid w:val="005760BF"/>
    <w:rsid w:val="00576831"/>
    <w:rsid w:val="00577624"/>
    <w:rsid w:val="00577ABF"/>
    <w:rsid w:val="00581A4A"/>
    <w:rsid w:val="00582CF0"/>
    <w:rsid w:val="005857D2"/>
    <w:rsid w:val="00585BCF"/>
    <w:rsid w:val="00585ED0"/>
    <w:rsid w:val="0058720B"/>
    <w:rsid w:val="005916D2"/>
    <w:rsid w:val="00591B11"/>
    <w:rsid w:val="00595C35"/>
    <w:rsid w:val="00595DA7"/>
    <w:rsid w:val="00595ED2"/>
    <w:rsid w:val="00596486"/>
    <w:rsid w:val="005A6091"/>
    <w:rsid w:val="005A61E4"/>
    <w:rsid w:val="005A66BA"/>
    <w:rsid w:val="005B1E55"/>
    <w:rsid w:val="005B6E10"/>
    <w:rsid w:val="005B6F12"/>
    <w:rsid w:val="005C0BE3"/>
    <w:rsid w:val="005C0DCB"/>
    <w:rsid w:val="005C2311"/>
    <w:rsid w:val="005C46B0"/>
    <w:rsid w:val="005C584D"/>
    <w:rsid w:val="005C59D9"/>
    <w:rsid w:val="005D173F"/>
    <w:rsid w:val="005D17BC"/>
    <w:rsid w:val="005D1C2D"/>
    <w:rsid w:val="005D4B42"/>
    <w:rsid w:val="005D655F"/>
    <w:rsid w:val="005D6811"/>
    <w:rsid w:val="005D6B64"/>
    <w:rsid w:val="005E0382"/>
    <w:rsid w:val="005E0E4A"/>
    <w:rsid w:val="005E1D3C"/>
    <w:rsid w:val="005E1DE9"/>
    <w:rsid w:val="005E5E78"/>
    <w:rsid w:val="005F11EA"/>
    <w:rsid w:val="005F2A16"/>
    <w:rsid w:val="005F4548"/>
    <w:rsid w:val="005F4A02"/>
    <w:rsid w:val="005F5D93"/>
    <w:rsid w:val="00603AAD"/>
    <w:rsid w:val="00604208"/>
    <w:rsid w:val="00604368"/>
    <w:rsid w:val="00604E5C"/>
    <w:rsid w:val="00607306"/>
    <w:rsid w:val="006075BD"/>
    <w:rsid w:val="006120DA"/>
    <w:rsid w:val="00616C3A"/>
    <w:rsid w:val="0061755E"/>
    <w:rsid w:val="00617A69"/>
    <w:rsid w:val="00617E98"/>
    <w:rsid w:val="00622F53"/>
    <w:rsid w:val="00624D66"/>
    <w:rsid w:val="006305A5"/>
    <w:rsid w:val="006309B9"/>
    <w:rsid w:val="00636089"/>
    <w:rsid w:val="00640913"/>
    <w:rsid w:val="00641842"/>
    <w:rsid w:val="00650A99"/>
    <w:rsid w:val="00652CEE"/>
    <w:rsid w:val="0065485A"/>
    <w:rsid w:val="0066026B"/>
    <w:rsid w:val="0066086C"/>
    <w:rsid w:val="00664223"/>
    <w:rsid w:val="00670BA5"/>
    <w:rsid w:val="00670D69"/>
    <w:rsid w:val="00674492"/>
    <w:rsid w:val="0067483D"/>
    <w:rsid w:val="006753C6"/>
    <w:rsid w:val="00676443"/>
    <w:rsid w:val="00677A07"/>
    <w:rsid w:val="006806F7"/>
    <w:rsid w:val="006807AC"/>
    <w:rsid w:val="00682367"/>
    <w:rsid w:val="00682C69"/>
    <w:rsid w:val="00685EF4"/>
    <w:rsid w:val="006879BE"/>
    <w:rsid w:val="00690E68"/>
    <w:rsid w:val="00691813"/>
    <w:rsid w:val="006928D1"/>
    <w:rsid w:val="00692975"/>
    <w:rsid w:val="006948C5"/>
    <w:rsid w:val="00697D59"/>
    <w:rsid w:val="006A0029"/>
    <w:rsid w:val="006A05D6"/>
    <w:rsid w:val="006A0F41"/>
    <w:rsid w:val="006A5990"/>
    <w:rsid w:val="006A5FCB"/>
    <w:rsid w:val="006A6FC6"/>
    <w:rsid w:val="006A7118"/>
    <w:rsid w:val="006A72BA"/>
    <w:rsid w:val="006A75AC"/>
    <w:rsid w:val="006B0537"/>
    <w:rsid w:val="006B5985"/>
    <w:rsid w:val="006B5999"/>
    <w:rsid w:val="006B765E"/>
    <w:rsid w:val="006B767F"/>
    <w:rsid w:val="006C7116"/>
    <w:rsid w:val="006D2B4A"/>
    <w:rsid w:val="006D521C"/>
    <w:rsid w:val="006D569B"/>
    <w:rsid w:val="006D7C83"/>
    <w:rsid w:val="006E21C8"/>
    <w:rsid w:val="006E4583"/>
    <w:rsid w:val="006E5817"/>
    <w:rsid w:val="006F03F4"/>
    <w:rsid w:val="006F26B2"/>
    <w:rsid w:val="006F3FF2"/>
    <w:rsid w:val="006F58C5"/>
    <w:rsid w:val="006F5B7D"/>
    <w:rsid w:val="006F7B44"/>
    <w:rsid w:val="00700DA8"/>
    <w:rsid w:val="00700DB0"/>
    <w:rsid w:val="0070120A"/>
    <w:rsid w:val="00702901"/>
    <w:rsid w:val="007042C0"/>
    <w:rsid w:val="0070483E"/>
    <w:rsid w:val="007050ED"/>
    <w:rsid w:val="007057E8"/>
    <w:rsid w:val="007062D9"/>
    <w:rsid w:val="00706545"/>
    <w:rsid w:val="00706636"/>
    <w:rsid w:val="00707F65"/>
    <w:rsid w:val="00712F01"/>
    <w:rsid w:val="00713F75"/>
    <w:rsid w:val="00717687"/>
    <w:rsid w:val="00721A74"/>
    <w:rsid w:val="00725E02"/>
    <w:rsid w:val="00726264"/>
    <w:rsid w:val="0073154E"/>
    <w:rsid w:val="007344EA"/>
    <w:rsid w:val="00735592"/>
    <w:rsid w:val="00736B63"/>
    <w:rsid w:val="00740BC2"/>
    <w:rsid w:val="00741448"/>
    <w:rsid w:val="007430EF"/>
    <w:rsid w:val="00743253"/>
    <w:rsid w:val="00743E1A"/>
    <w:rsid w:val="00745063"/>
    <w:rsid w:val="00745F39"/>
    <w:rsid w:val="00747180"/>
    <w:rsid w:val="00751860"/>
    <w:rsid w:val="00755B8D"/>
    <w:rsid w:val="00756F01"/>
    <w:rsid w:val="00760198"/>
    <w:rsid w:val="00761E5D"/>
    <w:rsid w:val="00762866"/>
    <w:rsid w:val="00762EF0"/>
    <w:rsid w:val="00763FDB"/>
    <w:rsid w:val="007641A0"/>
    <w:rsid w:val="00766EC2"/>
    <w:rsid w:val="00767FB9"/>
    <w:rsid w:val="00770276"/>
    <w:rsid w:val="00770874"/>
    <w:rsid w:val="00770887"/>
    <w:rsid w:val="00770ADC"/>
    <w:rsid w:val="00771928"/>
    <w:rsid w:val="007731C6"/>
    <w:rsid w:val="00773282"/>
    <w:rsid w:val="00773547"/>
    <w:rsid w:val="00773718"/>
    <w:rsid w:val="00775756"/>
    <w:rsid w:val="00776215"/>
    <w:rsid w:val="007828B7"/>
    <w:rsid w:val="00782F33"/>
    <w:rsid w:val="0078344D"/>
    <w:rsid w:val="007857D0"/>
    <w:rsid w:val="007877F3"/>
    <w:rsid w:val="00790020"/>
    <w:rsid w:val="00790739"/>
    <w:rsid w:val="00792612"/>
    <w:rsid w:val="00796DDA"/>
    <w:rsid w:val="007A35B9"/>
    <w:rsid w:val="007A4D8D"/>
    <w:rsid w:val="007B2470"/>
    <w:rsid w:val="007B4882"/>
    <w:rsid w:val="007B5621"/>
    <w:rsid w:val="007B5998"/>
    <w:rsid w:val="007B6AD6"/>
    <w:rsid w:val="007B6F76"/>
    <w:rsid w:val="007B70F7"/>
    <w:rsid w:val="007C336F"/>
    <w:rsid w:val="007C4270"/>
    <w:rsid w:val="007C44A2"/>
    <w:rsid w:val="007C450B"/>
    <w:rsid w:val="007C4578"/>
    <w:rsid w:val="007C532D"/>
    <w:rsid w:val="007D2E65"/>
    <w:rsid w:val="007D411F"/>
    <w:rsid w:val="007E1795"/>
    <w:rsid w:val="007E2A4C"/>
    <w:rsid w:val="007E35B4"/>
    <w:rsid w:val="007E45F2"/>
    <w:rsid w:val="007E5237"/>
    <w:rsid w:val="007F2F30"/>
    <w:rsid w:val="007F37C0"/>
    <w:rsid w:val="007F40C8"/>
    <w:rsid w:val="007F5A79"/>
    <w:rsid w:val="007F6500"/>
    <w:rsid w:val="007F773D"/>
    <w:rsid w:val="007F7858"/>
    <w:rsid w:val="007F7C04"/>
    <w:rsid w:val="00800EA9"/>
    <w:rsid w:val="008032B9"/>
    <w:rsid w:val="008036D7"/>
    <w:rsid w:val="00804D2D"/>
    <w:rsid w:val="00805925"/>
    <w:rsid w:val="00806566"/>
    <w:rsid w:val="00807EFC"/>
    <w:rsid w:val="00810084"/>
    <w:rsid w:val="00811831"/>
    <w:rsid w:val="008120FD"/>
    <w:rsid w:val="00815CEE"/>
    <w:rsid w:val="00815D0B"/>
    <w:rsid w:val="008165BB"/>
    <w:rsid w:val="008175B2"/>
    <w:rsid w:val="00817D8E"/>
    <w:rsid w:val="00820529"/>
    <w:rsid w:val="00820A3F"/>
    <w:rsid w:val="00821C06"/>
    <w:rsid w:val="00821EDD"/>
    <w:rsid w:val="00826FF2"/>
    <w:rsid w:val="00827082"/>
    <w:rsid w:val="0083178E"/>
    <w:rsid w:val="00832014"/>
    <w:rsid w:val="008369B2"/>
    <w:rsid w:val="00836C5C"/>
    <w:rsid w:val="008374DF"/>
    <w:rsid w:val="008375EB"/>
    <w:rsid w:val="008442CE"/>
    <w:rsid w:val="008445AE"/>
    <w:rsid w:val="00844F12"/>
    <w:rsid w:val="0084571C"/>
    <w:rsid w:val="00852E16"/>
    <w:rsid w:val="0085709B"/>
    <w:rsid w:val="00857DE1"/>
    <w:rsid w:val="00862E28"/>
    <w:rsid w:val="008646D2"/>
    <w:rsid w:val="008647D1"/>
    <w:rsid w:val="00864DF0"/>
    <w:rsid w:val="00865165"/>
    <w:rsid w:val="00865411"/>
    <w:rsid w:val="00870C3E"/>
    <w:rsid w:val="0087308F"/>
    <w:rsid w:val="00873FB4"/>
    <w:rsid w:val="0087506E"/>
    <w:rsid w:val="008751D9"/>
    <w:rsid w:val="008761A0"/>
    <w:rsid w:val="008762C3"/>
    <w:rsid w:val="00876444"/>
    <w:rsid w:val="00881C9C"/>
    <w:rsid w:val="0088732D"/>
    <w:rsid w:val="008956AB"/>
    <w:rsid w:val="00896EAD"/>
    <w:rsid w:val="008A0307"/>
    <w:rsid w:val="008A3FB8"/>
    <w:rsid w:val="008A4B1D"/>
    <w:rsid w:val="008A5D7F"/>
    <w:rsid w:val="008B0625"/>
    <w:rsid w:val="008B0A18"/>
    <w:rsid w:val="008B30C9"/>
    <w:rsid w:val="008B3A69"/>
    <w:rsid w:val="008B5731"/>
    <w:rsid w:val="008B7176"/>
    <w:rsid w:val="008C00FD"/>
    <w:rsid w:val="008C10F9"/>
    <w:rsid w:val="008C11BF"/>
    <w:rsid w:val="008C2780"/>
    <w:rsid w:val="008C2EA2"/>
    <w:rsid w:val="008C73D6"/>
    <w:rsid w:val="008C7A2F"/>
    <w:rsid w:val="008C7B9C"/>
    <w:rsid w:val="008D04FA"/>
    <w:rsid w:val="008D24B0"/>
    <w:rsid w:val="008D2D24"/>
    <w:rsid w:val="008E2ADB"/>
    <w:rsid w:val="008E2FC3"/>
    <w:rsid w:val="008E40B7"/>
    <w:rsid w:val="008E6775"/>
    <w:rsid w:val="008E78EB"/>
    <w:rsid w:val="008F01DE"/>
    <w:rsid w:val="008F57E4"/>
    <w:rsid w:val="008F6815"/>
    <w:rsid w:val="00901C37"/>
    <w:rsid w:val="00902FDE"/>
    <w:rsid w:val="00903C4B"/>
    <w:rsid w:val="009058D0"/>
    <w:rsid w:val="00907660"/>
    <w:rsid w:val="00913AD5"/>
    <w:rsid w:val="00914565"/>
    <w:rsid w:val="009148E7"/>
    <w:rsid w:val="00915224"/>
    <w:rsid w:val="00926286"/>
    <w:rsid w:val="00926317"/>
    <w:rsid w:val="00926B45"/>
    <w:rsid w:val="0093138C"/>
    <w:rsid w:val="00933184"/>
    <w:rsid w:val="00934CE3"/>
    <w:rsid w:val="00941DC5"/>
    <w:rsid w:val="00942F02"/>
    <w:rsid w:val="00943029"/>
    <w:rsid w:val="009430A5"/>
    <w:rsid w:val="0094723D"/>
    <w:rsid w:val="009509DD"/>
    <w:rsid w:val="00950A8A"/>
    <w:rsid w:val="009531E2"/>
    <w:rsid w:val="00953438"/>
    <w:rsid w:val="00956098"/>
    <w:rsid w:val="009606B3"/>
    <w:rsid w:val="0096177F"/>
    <w:rsid w:val="00961788"/>
    <w:rsid w:val="0096241A"/>
    <w:rsid w:val="00964E68"/>
    <w:rsid w:val="00966EAD"/>
    <w:rsid w:val="00972EE9"/>
    <w:rsid w:val="00973D1A"/>
    <w:rsid w:val="0097536C"/>
    <w:rsid w:val="00975968"/>
    <w:rsid w:val="0097627C"/>
    <w:rsid w:val="0098143F"/>
    <w:rsid w:val="00982549"/>
    <w:rsid w:val="009848DF"/>
    <w:rsid w:val="00986F71"/>
    <w:rsid w:val="00990B51"/>
    <w:rsid w:val="0099278C"/>
    <w:rsid w:val="00996A17"/>
    <w:rsid w:val="009A0A28"/>
    <w:rsid w:val="009A236F"/>
    <w:rsid w:val="009A3F4E"/>
    <w:rsid w:val="009A5596"/>
    <w:rsid w:val="009A67EB"/>
    <w:rsid w:val="009A7AA1"/>
    <w:rsid w:val="009B2860"/>
    <w:rsid w:val="009B2FAE"/>
    <w:rsid w:val="009B38B1"/>
    <w:rsid w:val="009B4265"/>
    <w:rsid w:val="009B7AC7"/>
    <w:rsid w:val="009C0615"/>
    <w:rsid w:val="009C3106"/>
    <w:rsid w:val="009C3354"/>
    <w:rsid w:val="009C5C1A"/>
    <w:rsid w:val="009C7A81"/>
    <w:rsid w:val="009C7C0D"/>
    <w:rsid w:val="009D4B99"/>
    <w:rsid w:val="009D7ECE"/>
    <w:rsid w:val="009E0CF7"/>
    <w:rsid w:val="009E2C78"/>
    <w:rsid w:val="009E5D05"/>
    <w:rsid w:val="009F0492"/>
    <w:rsid w:val="009F0FBE"/>
    <w:rsid w:val="009F2029"/>
    <w:rsid w:val="009F248B"/>
    <w:rsid w:val="009F6412"/>
    <w:rsid w:val="009F6636"/>
    <w:rsid w:val="00A006DE"/>
    <w:rsid w:val="00A0382D"/>
    <w:rsid w:val="00A05791"/>
    <w:rsid w:val="00A05F58"/>
    <w:rsid w:val="00A07EF9"/>
    <w:rsid w:val="00A11B42"/>
    <w:rsid w:val="00A13AE4"/>
    <w:rsid w:val="00A20940"/>
    <w:rsid w:val="00A24C85"/>
    <w:rsid w:val="00A258F0"/>
    <w:rsid w:val="00A329EF"/>
    <w:rsid w:val="00A34FD5"/>
    <w:rsid w:val="00A36083"/>
    <w:rsid w:val="00A36A80"/>
    <w:rsid w:val="00A43CD6"/>
    <w:rsid w:val="00A43FC3"/>
    <w:rsid w:val="00A44621"/>
    <w:rsid w:val="00A47C6A"/>
    <w:rsid w:val="00A47CA0"/>
    <w:rsid w:val="00A54B0D"/>
    <w:rsid w:val="00A566FE"/>
    <w:rsid w:val="00A56A63"/>
    <w:rsid w:val="00A57CC2"/>
    <w:rsid w:val="00A6251D"/>
    <w:rsid w:val="00A6547B"/>
    <w:rsid w:val="00A654D7"/>
    <w:rsid w:val="00A65971"/>
    <w:rsid w:val="00A66750"/>
    <w:rsid w:val="00A70182"/>
    <w:rsid w:val="00A70BA7"/>
    <w:rsid w:val="00A72A13"/>
    <w:rsid w:val="00A744EC"/>
    <w:rsid w:val="00A7495A"/>
    <w:rsid w:val="00A752C7"/>
    <w:rsid w:val="00A77968"/>
    <w:rsid w:val="00A833AB"/>
    <w:rsid w:val="00A83649"/>
    <w:rsid w:val="00A839F4"/>
    <w:rsid w:val="00A85837"/>
    <w:rsid w:val="00A926CE"/>
    <w:rsid w:val="00A92AF7"/>
    <w:rsid w:val="00A9371D"/>
    <w:rsid w:val="00A97894"/>
    <w:rsid w:val="00A97CAD"/>
    <w:rsid w:val="00A97FDD"/>
    <w:rsid w:val="00AA0FB7"/>
    <w:rsid w:val="00AA1AA1"/>
    <w:rsid w:val="00AA1C68"/>
    <w:rsid w:val="00AA5D20"/>
    <w:rsid w:val="00AA690A"/>
    <w:rsid w:val="00AA75DD"/>
    <w:rsid w:val="00AB37B1"/>
    <w:rsid w:val="00AB4FFD"/>
    <w:rsid w:val="00AC2164"/>
    <w:rsid w:val="00AC23B8"/>
    <w:rsid w:val="00AC2B0C"/>
    <w:rsid w:val="00AC4815"/>
    <w:rsid w:val="00AC4CBD"/>
    <w:rsid w:val="00AC4EE0"/>
    <w:rsid w:val="00AC5CBF"/>
    <w:rsid w:val="00AC6DD0"/>
    <w:rsid w:val="00AD0C4B"/>
    <w:rsid w:val="00AD3A74"/>
    <w:rsid w:val="00AD56DB"/>
    <w:rsid w:val="00AD5C4D"/>
    <w:rsid w:val="00AD7A50"/>
    <w:rsid w:val="00AE23D3"/>
    <w:rsid w:val="00AE45E6"/>
    <w:rsid w:val="00AE7B84"/>
    <w:rsid w:val="00AF00AF"/>
    <w:rsid w:val="00AF2082"/>
    <w:rsid w:val="00AF217C"/>
    <w:rsid w:val="00AF5E1D"/>
    <w:rsid w:val="00AF7171"/>
    <w:rsid w:val="00AF71D3"/>
    <w:rsid w:val="00B03114"/>
    <w:rsid w:val="00B03E66"/>
    <w:rsid w:val="00B07062"/>
    <w:rsid w:val="00B10F99"/>
    <w:rsid w:val="00B11E2E"/>
    <w:rsid w:val="00B1396D"/>
    <w:rsid w:val="00B174B3"/>
    <w:rsid w:val="00B179EC"/>
    <w:rsid w:val="00B17D06"/>
    <w:rsid w:val="00B212CE"/>
    <w:rsid w:val="00B21E04"/>
    <w:rsid w:val="00B229DE"/>
    <w:rsid w:val="00B24C81"/>
    <w:rsid w:val="00B24EC6"/>
    <w:rsid w:val="00B258AA"/>
    <w:rsid w:val="00B26183"/>
    <w:rsid w:val="00B262CD"/>
    <w:rsid w:val="00B33ABA"/>
    <w:rsid w:val="00B36BB2"/>
    <w:rsid w:val="00B4004C"/>
    <w:rsid w:val="00B401FB"/>
    <w:rsid w:val="00B430BE"/>
    <w:rsid w:val="00B44FE7"/>
    <w:rsid w:val="00B51E12"/>
    <w:rsid w:val="00B5275F"/>
    <w:rsid w:val="00B5293B"/>
    <w:rsid w:val="00B55631"/>
    <w:rsid w:val="00B557F8"/>
    <w:rsid w:val="00B57DCE"/>
    <w:rsid w:val="00B62473"/>
    <w:rsid w:val="00B63D83"/>
    <w:rsid w:val="00B6483D"/>
    <w:rsid w:val="00B65E8C"/>
    <w:rsid w:val="00B67E9E"/>
    <w:rsid w:val="00B7361A"/>
    <w:rsid w:val="00B74F06"/>
    <w:rsid w:val="00B760AE"/>
    <w:rsid w:val="00B761E4"/>
    <w:rsid w:val="00B76887"/>
    <w:rsid w:val="00B76DC7"/>
    <w:rsid w:val="00B8182A"/>
    <w:rsid w:val="00B82557"/>
    <w:rsid w:val="00B83B9D"/>
    <w:rsid w:val="00B83BF2"/>
    <w:rsid w:val="00B8540B"/>
    <w:rsid w:val="00B864A6"/>
    <w:rsid w:val="00B9099F"/>
    <w:rsid w:val="00B91CF2"/>
    <w:rsid w:val="00B92753"/>
    <w:rsid w:val="00B94319"/>
    <w:rsid w:val="00B9549F"/>
    <w:rsid w:val="00B97B3B"/>
    <w:rsid w:val="00BA1DE4"/>
    <w:rsid w:val="00BA2203"/>
    <w:rsid w:val="00BA2D04"/>
    <w:rsid w:val="00BA3E16"/>
    <w:rsid w:val="00BA4F3D"/>
    <w:rsid w:val="00BA5EC8"/>
    <w:rsid w:val="00BB0B2C"/>
    <w:rsid w:val="00BB0EE8"/>
    <w:rsid w:val="00BB226F"/>
    <w:rsid w:val="00BB2EB5"/>
    <w:rsid w:val="00BB3D88"/>
    <w:rsid w:val="00BB6186"/>
    <w:rsid w:val="00BC2190"/>
    <w:rsid w:val="00BC265C"/>
    <w:rsid w:val="00BC3C07"/>
    <w:rsid w:val="00BD0A7B"/>
    <w:rsid w:val="00BD16BE"/>
    <w:rsid w:val="00BD34BB"/>
    <w:rsid w:val="00BD39F4"/>
    <w:rsid w:val="00BD4C82"/>
    <w:rsid w:val="00BE1C07"/>
    <w:rsid w:val="00BE325A"/>
    <w:rsid w:val="00BE515D"/>
    <w:rsid w:val="00BE6F56"/>
    <w:rsid w:val="00BE7F1F"/>
    <w:rsid w:val="00BF3E26"/>
    <w:rsid w:val="00BF3F76"/>
    <w:rsid w:val="00BF5E4B"/>
    <w:rsid w:val="00C00289"/>
    <w:rsid w:val="00C01693"/>
    <w:rsid w:val="00C02000"/>
    <w:rsid w:val="00C035EB"/>
    <w:rsid w:val="00C0395D"/>
    <w:rsid w:val="00C03A42"/>
    <w:rsid w:val="00C0423C"/>
    <w:rsid w:val="00C04E27"/>
    <w:rsid w:val="00C05786"/>
    <w:rsid w:val="00C06237"/>
    <w:rsid w:val="00C10AAC"/>
    <w:rsid w:val="00C12F15"/>
    <w:rsid w:val="00C142B1"/>
    <w:rsid w:val="00C15B2D"/>
    <w:rsid w:val="00C1617D"/>
    <w:rsid w:val="00C16960"/>
    <w:rsid w:val="00C17E72"/>
    <w:rsid w:val="00C20CA8"/>
    <w:rsid w:val="00C20E26"/>
    <w:rsid w:val="00C22DBE"/>
    <w:rsid w:val="00C24542"/>
    <w:rsid w:val="00C248C2"/>
    <w:rsid w:val="00C2726C"/>
    <w:rsid w:val="00C276A2"/>
    <w:rsid w:val="00C32B9A"/>
    <w:rsid w:val="00C32E28"/>
    <w:rsid w:val="00C3332E"/>
    <w:rsid w:val="00C334D1"/>
    <w:rsid w:val="00C36BE7"/>
    <w:rsid w:val="00C37791"/>
    <w:rsid w:val="00C37A7B"/>
    <w:rsid w:val="00C43064"/>
    <w:rsid w:val="00C46A08"/>
    <w:rsid w:val="00C47D9E"/>
    <w:rsid w:val="00C51797"/>
    <w:rsid w:val="00C52DFE"/>
    <w:rsid w:val="00C541A9"/>
    <w:rsid w:val="00C54674"/>
    <w:rsid w:val="00C54A4A"/>
    <w:rsid w:val="00C55945"/>
    <w:rsid w:val="00C56A9B"/>
    <w:rsid w:val="00C572C4"/>
    <w:rsid w:val="00C65605"/>
    <w:rsid w:val="00C6646F"/>
    <w:rsid w:val="00C6685D"/>
    <w:rsid w:val="00C70370"/>
    <w:rsid w:val="00C70B40"/>
    <w:rsid w:val="00C72CA5"/>
    <w:rsid w:val="00C72D32"/>
    <w:rsid w:val="00C74619"/>
    <w:rsid w:val="00C769E0"/>
    <w:rsid w:val="00C81635"/>
    <w:rsid w:val="00C86CA5"/>
    <w:rsid w:val="00C945E3"/>
    <w:rsid w:val="00C97EEB"/>
    <w:rsid w:val="00CA1EFC"/>
    <w:rsid w:val="00CA5E43"/>
    <w:rsid w:val="00CA637D"/>
    <w:rsid w:val="00CA669B"/>
    <w:rsid w:val="00CA6D9C"/>
    <w:rsid w:val="00CA76CA"/>
    <w:rsid w:val="00CB47E0"/>
    <w:rsid w:val="00CB6457"/>
    <w:rsid w:val="00CB6D39"/>
    <w:rsid w:val="00CC0170"/>
    <w:rsid w:val="00CC2C0A"/>
    <w:rsid w:val="00CC59C1"/>
    <w:rsid w:val="00CC74DC"/>
    <w:rsid w:val="00CD0570"/>
    <w:rsid w:val="00CD3A6C"/>
    <w:rsid w:val="00CE3386"/>
    <w:rsid w:val="00CE4830"/>
    <w:rsid w:val="00CE6524"/>
    <w:rsid w:val="00CF0493"/>
    <w:rsid w:val="00CF11FD"/>
    <w:rsid w:val="00CF7230"/>
    <w:rsid w:val="00D02D35"/>
    <w:rsid w:val="00D03B46"/>
    <w:rsid w:val="00D0423B"/>
    <w:rsid w:val="00D05FE1"/>
    <w:rsid w:val="00D17579"/>
    <w:rsid w:val="00D200BE"/>
    <w:rsid w:val="00D204CE"/>
    <w:rsid w:val="00D21303"/>
    <w:rsid w:val="00D23393"/>
    <w:rsid w:val="00D27BCA"/>
    <w:rsid w:val="00D33A0E"/>
    <w:rsid w:val="00D34898"/>
    <w:rsid w:val="00D373F0"/>
    <w:rsid w:val="00D37BAF"/>
    <w:rsid w:val="00D42439"/>
    <w:rsid w:val="00D44B0C"/>
    <w:rsid w:val="00D4672B"/>
    <w:rsid w:val="00D47B0A"/>
    <w:rsid w:val="00D51763"/>
    <w:rsid w:val="00D534DF"/>
    <w:rsid w:val="00D57142"/>
    <w:rsid w:val="00D613CB"/>
    <w:rsid w:val="00D61EFA"/>
    <w:rsid w:val="00D62647"/>
    <w:rsid w:val="00D62651"/>
    <w:rsid w:val="00D62D67"/>
    <w:rsid w:val="00D65EB0"/>
    <w:rsid w:val="00D673CD"/>
    <w:rsid w:val="00D718F8"/>
    <w:rsid w:val="00D71C09"/>
    <w:rsid w:val="00D76FA2"/>
    <w:rsid w:val="00D774B6"/>
    <w:rsid w:val="00D82158"/>
    <w:rsid w:val="00D8313F"/>
    <w:rsid w:val="00D86264"/>
    <w:rsid w:val="00D91B45"/>
    <w:rsid w:val="00D93D19"/>
    <w:rsid w:val="00D95BCE"/>
    <w:rsid w:val="00D9794C"/>
    <w:rsid w:val="00DA04F8"/>
    <w:rsid w:val="00DA07E0"/>
    <w:rsid w:val="00DA12F2"/>
    <w:rsid w:val="00DA3F44"/>
    <w:rsid w:val="00DA457C"/>
    <w:rsid w:val="00DA6502"/>
    <w:rsid w:val="00DB7F92"/>
    <w:rsid w:val="00DC5A57"/>
    <w:rsid w:val="00DD0981"/>
    <w:rsid w:val="00DD0F92"/>
    <w:rsid w:val="00DD5CA9"/>
    <w:rsid w:val="00DD69A0"/>
    <w:rsid w:val="00DD6F21"/>
    <w:rsid w:val="00DD7B6A"/>
    <w:rsid w:val="00DE4790"/>
    <w:rsid w:val="00DE4F3C"/>
    <w:rsid w:val="00DE59DF"/>
    <w:rsid w:val="00DF05CB"/>
    <w:rsid w:val="00DF220C"/>
    <w:rsid w:val="00DF240E"/>
    <w:rsid w:val="00DF41F7"/>
    <w:rsid w:val="00DF4CE2"/>
    <w:rsid w:val="00DF4D29"/>
    <w:rsid w:val="00DF6119"/>
    <w:rsid w:val="00E00C8E"/>
    <w:rsid w:val="00E00EAB"/>
    <w:rsid w:val="00E0299E"/>
    <w:rsid w:val="00E04672"/>
    <w:rsid w:val="00E058B1"/>
    <w:rsid w:val="00E10692"/>
    <w:rsid w:val="00E111B6"/>
    <w:rsid w:val="00E142FF"/>
    <w:rsid w:val="00E14628"/>
    <w:rsid w:val="00E149B3"/>
    <w:rsid w:val="00E15028"/>
    <w:rsid w:val="00E15E67"/>
    <w:rsid w:val="00E2010C"/>
    <w:rsid w:val="00E21B5E"/>
    <w:rsid w:val="00E2269A"/>
    <w:rsid w:val="00E255C8"/>
    <w:rsid w:val="00E27D3B"/>
    <w:rsid w:val="00E30E3E"/>
    <w:rsid w:val="00E3143C"/>
    <w:rsid w:val="00E315D4"/>
    <w:rsid w:val="00E319A8"/>
    <w:rsid w:val="00E31AA7"/>
    <w:rsid w:val="00E324E3"/>
    <w:rsid w:val="00E32727"/>
    <w:rsid w:val="00E35F1F"/>
    <w:rsid w:val="00E37D46"/>
    <w:rsid w:val="00E40368"/>
    <w:rsid w:val="00E4268B"/>
    <w:rsid w:val="00E42DEF"/>
    <w:rsid w:val="00E438FA"/>
    <w:rsid w:val="00E44E11"/>
    <w:rsid w:val="00E508CB"/>
    <w:rsid w:val="00E52376"/>
    <w:rsid w:val="00E535D9"/>
    <w:rsid w:val="00E547EA"/>
    <w:rsid w:val="00E55115"/>
    <w:rsid w:val="00E562E9"/>
    <w:rsid w:val="00E566A8"/>
    <w:rsid w:val="00E56795"/>
    <w:rsid w:val="00E60742"/>
    <w:rsid w:val="00E62630"/>
    <w:rsid w:val="00E71D96"/>
    <w:rsid w:val="00E745B9"/>
    <w:rsid w:val="00E80BDE"/>
    <w:rsid w:val="00E80CF1"/>
    <w:rsid w:val="00E83353"/>
    <w:rsid w:val="00E85A59"/>
    <w:rsid w:val="00E95500"/>
    <w:rsid w:val="00E97DBD"/>
    <w:rsid w:val="00EA0EA6"/>
    <w:rsid w:val="00EA16AE"/>
    <w:rsid w:val="00EA27E3"/>
    <w:rsid w:val="00EA2D36"/>
    <w:rsid w:val="00EA3144"/>
    <w:rsid w:val="00EA42EC"/>
    <w:rsid w:val="00EA4545"/>
    <w:rsid w:val="00EA458B"/>
    <w:rsid w:val="00EA542C"/>
    <w:rsid w:val="00EA5FAE"/>
    <w:rsid w:val="00EA6661"/>
    <w:rsid w:val="00EA7A00"/>
    <w:rsid w:val="00EB0D83"/>
    <w:rsid w:val="00EB1F9C"/>
    <w:rsid w:val="00EB230A"/>
    <w:rsid w:val="00EC14DD"/>
    <w:rsid w:val="00EC221A"/>
    <w:rsid w:val="00EC2A11"/>
    <w:rsid w:val="00EC36EF"/>
    <w:rsid w:val="00EC3FCA"/>
    <w:rsid w:val="00EC4E41"/>
    <w:rsid w:val="00ED18CB"/>
    <w:rsid w:val="00ED1B75"/>
    <w:rsid w:val="00ED1DEE"/>
    <w:rsid w:val="00EE108B"/>
    <w:rsid w:val="00EE23CA"/>
    <w:rsid w:val="00EE272E"/>
    <w:rsid w:val="00EE30F0"/>
    <w:rsid w:val="00EE40F7"/>
    <w:rsid w:val="00EE543C"/>
    <w:rsid w:val="00EF06FE"/>
    <w:rsid w:val="00EF0F9F"/>
    <w:rsid w:val="00EF1F54"/>
    <w:rsid w:val="00EF4447"/>
    <w:rsid w:val="00EF51FE"/>
    <w:rsid w:val="00EF645F"/>
    <w:rsid w:val="00EF7F03"/>
    <w:rsid w:val="00F06007"/>
    <w:rsid w:val="00F067EF"/>
    <w:rsid w:val="00F06B21"/>
    <w:rsid w:val="00F10463"/>
    <w:rsid w:val="00F12D1C"/>
    <w:rsid w:val="00F14B06"/>
    <w:rsid w:val="00F21145"/>
    <w:rsid w:val="00F237C2"/>
    <w:rsid w:val="00F3367B"/>
    <w:rsid w:val="00F33B1A"/>
    <w:rsid w:val="00F343E9"/>
    <w:rsid w:val="00F344D5"/>
    <w:rsid w:val="00F3457F"/>
    <w:rsid w:val="00F413A2"/>
    <w:rsid w:val="00F41E22"/>
    <w:rsid w:val="00F437B7"/>
    <w:rsid w:val="00F43939"/>
    <w:rsid w:val="00F451AC"/>
    <w:rsid w:val="00F50500"/>
    <w:rsid w:val="00F50DE8"/>
    <w:rsid w:val="00F5220F"/>
    <w:rsid w:val="00F525B8"/>
    <w:rsid w:val="00F53DF6"/>
    <w:rsid w:val="00F56756"/>
    <w:rsid w:val="00F57D5F"/>
    <w:rsid w:val="00F64422"/>
    <w:rsid w:val="00F73758"/>
    <w:rsid w:val="00F74A4C"/>
    <w:rsid w:val="00F766D0"/>
    <w:rsid w:val="00F76822"/>
    <w:rsid w:val="00F77DD0"/>
    <w:rsid w:val="00F80927"/>
    <w:rsid w:val="00F82FBA"/>
    <w:rsid w:val="00F832D1"/>
    <w:rsid w:val="00F83E8B"/>
    <w:rsid w:val="00F84B99"/>
    <w:rsid w:val="00F8609F"/>
    <w:rsid w:val="00F86B59"/>
    <w:rsid w:val="00F87643"/>
    <w:rsid w:val="00F87E5B"/>
    <w:rsid w:val="00F95E8D"/>
    <w:rsid w:val="00F96930"/>
    <w:rsid w:val="00FA0402"/>
    <w:rsid w:val="00FA240A"/>
    <w:rsid w:val="00FA29BA"/>
    <w:rsid w:val="00FA47DA"/>
    <w:rsid w:val="00FA4824"/>
    <w:rsid w:val="00FA4922"/>
    <w:rsid w:val="00FA4C6D"/>
    <w:rsid w:val="00FB0C19"/>
    <w:rsid w:val="00FB1D70"/>
    <w:rsid w:val="00FB2024"/>
    <w:rsid w:val="00FB48CA"/>
    <w:rsid w:val="00FC3737"/>
    <w:rsid w:val="00FC413F"/>
    <w:rsid w:val="00FC66AC"/>
    <w:rsid w:val="00FD082E"/>
    <w:rsid w:val="00FD0FB5"/>
    <w:rsid w:val="00FD1869"/>
    <w:rsid w:val="00FD3755"/>
    <w:rsid w:val="00FD52EC"/>
    <w:rsid w:val="00FD53F7"/>
    <w:rsid w:val="00FD777A"/>
    <w:rsid w:val="00FE090E"/>
    <w:rsid w:val="00FE1ACA"/>
    <w:rsid w:val="00FE1BB9"/>
    <w:rsid w:val="00FE1BFC"/>
    <w:rsid w:val="00FE3B2D"/>
    <w:rsid w:val="00FE5384"/>
    <w:rsid w:val="00FF4F90"/>
    <w:rsid w:val="00FF5C98"/>
    <w:rsid w:val="00FF5EDB"/>
    <w:rsid w:val="00FF681E"/>
    <w:rsid w:val="00FF75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CAA7739-7890-4D60-865C-78B96B38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58">
      <w:bodyDiv w:val="1"/>
      <w:marLeft w:val="0"/>
      <w:marRight w:val="0"/>
      <w:marTop w:val="0"/>
      <w:marBottom w:val="0"/>
      <w:divBdr>
        <w:top w:val="none" w:sz="0" w:space="0" w:color="auto"/>
        <w:left w:val="none" w:sz="0" w:space="0" w:color="auto"/>
        <w:bottom w:val="none" w:sz="0" w:space="0" w:color="auto"/>
        <w:right w:val="none" w:sz="0" w:space="0" w:color="auto"/>
      </w:divBdr>
    </w:div>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03891471">
      <w:bodyDiv w:val="1"/>
      <w:marLeft w:val="0"/>
      <w:marRight w:val="0"/>
      <w:marTop w:val="0"/>
      <w:marBottom w:val="0"/>
      <w:divBdr>
        <w:top w:val="none" w:sz="0" w:space="0" w:color="auto"/>
        <w:left w:val="none" w:sz="0" w:space="0" w:color="auto"/>
        <w:bottom w:val="none" w:sz="0" w:space="0" w:color="auto"/>
        <w:right w:val="none" w:sz="0" w:space="0" w:color="auto"/>
      </w:divBdr>
    </w:div>
    <w:div w:id="105316843">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141894818">
      <w:bodyDiv w:val="1"/>
      <w:marLeft w:val="0"/>
      <w:marRight w:val="0"/>
      <w:marTop w:val="0"/>
      <w:marBottom w:val="0"/>
      <w:divBdr>
        <w:top w:val="none" w:sz="0" w:space="0" w:color="auto"/>
        <w:left w:val="none" w:sz="0" w:space="0" w:color="auto"/>
        <w:bottom w:val="none" w:sz="0" w:space="0" w:color="auto"/>
        <w:right w:val="none" w:sz="0" w:space="0" w:color="auto"/>
      </w:divBdr>
    </w:div>
    <w:div w:id="151802257">
      <w:bodyDiv w:val="1"/>
      <w:marLeft w:val="0"/>
      <w:marRight w:val="0"/>
      <w:marTop w:val="0"/>
      <w:marBottom w:val="0"/>
      <w:divBdr>
        <w:top w:val="none" w:sz="0" w:space="0" w:color="auto"/>
        <w:left w:val="none" w:sz="0" w:space="0" w:color="auto"/>
        <w:bottom w:val="none" w:sz="0" w:space="0" w:color="auto"/>
        <w:right w:val="none" w:sz="0" w:space="0" w:color="auto"/>
      </w:divBdr>
    </w:div>
    <w:div w:id="170535872">
      <w:bodyDiv w:val="1"/>
      <w:marLeft w:val="0"/>
      <w:marRight w:val="0"/>
      <w:marTop w:val="0"/>
      <w:marBottom w:val="0"/>
      <w:divBdr>
        <w:top w:val="none" w:sz="0" w:space="0" w:color="auto"/>
        <w:left w:val="none" w:sz="0" w:space="0" w:color="auto"/>
        <w:bottom w:val="none" w:sz="0" w:space="0" w:color="auto"/>
        <w:right w:val="none" w:sz="0" w:space="0" w:color="auto"/>
      </w:divBdr>
    </w:div>
    <w:div w:id="268395248">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57123460">
      <w:bodyDiv w:val="1"/>
      <w:marLeft w:val="0"/>
      <w:marRight w:val="0"/>
      <w:marTop w:val="0"/>
      <w:marBottom w:val="0"/>
      <w:divBdr>
        <w:top w:val="none" w:sz="0" w:space="0" w:color="auto"/>
        <w:left w:val="none" w:sz="0" w:space="0" w:color="auto"/>
        <w:bottom w:val="none" w:sz="0" w:space="0" w:color="auto"/>
        <w:right w:val="none" w:sz="0" w:space="0" w:color="auto"/>
      </w:divBdr>
    </w:div>
    <w:div w:id="379012021">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4645865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758984077">
      <w:bodyDiv w:val="1"/>
      <w:marLeft w:val="0"/>
      <w:marRight w:val="0"/>
      <w:marTop w:val="0"/>
      <w:marBottom w:val="0"/>
      <w:divBdr>
        <w:top w:val="none" w:sz="0" w:space="0" w:color="auto"/>
        <w:left w:val="none" w:sz="0" w:space="0" w:color="auto"/>
        <w:bottom w:val="none" w:sz="0" w:space="0" w:color="auto"/>
        <w:right w:val="none" w:sz="0" w:space="0" w:color="auto"/>
      </w:divBdr>
    </w:div>
    <w:div w:id="84832929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30971438">
      <w:bodyDiv w:val="1"/>
      <w:marLeft w:val="0"/>
      <w:marRight w:val="0"/>
      <w:marTop w:val="0"/>
      <w:marBottom w:val="0"/>
      <w:divBdr>
        <w:top w:val="none" w:sz="0" w:space="0" w:color="auto"/>
        <w:left w:val="none" w:sz="0" w:space="0" w:color="auto"/>
        <w:bottom w:val="none" w:sz="0" w:space="0" w:color="auto"/>
        <w:right w:val="none" w:sz="0" w:space="0" w:color="auto"/>
      </w:divBdr>
    </w:div>
    <w:div w:id="933979398">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98928513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197625535">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251113980">
      <w:bodyDiv w:val="1"/>
      <w:marLeft w:val="0"/>
      <w:marRight w:val="0"/>
      <w:marTop w:val="0"/>
      <w:marBottom w:val="0"/>
      <w:divBdr>
        <w:top w:val="none" w:sz="0" w:space="0" w:color="auto"/>
        <w:left w:val="none" w:sz="0" w:space="0" w:color="auto"/>
        <w:bottom w:val="none" w:sz="0" w:space="0" w:color="auto"/>
        <w:right w:val="none" w:sz="0" w:space="0" w:color="auto"/>
      </w:divBdr>
    </w:div>
    <w:div w:id="134771461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364090511">
      <w:bodyDiv w:val="1"/>
      <w:marLeft w:val="0"/>
      <w:marRight w:val="0"/>
      <w:marTop w:val="0"/>
      <w:marBottom w:val="0"/>
      <w:divBdr>
        <w:top w:val="none" w:sz="0" w:space="0" w:color="auto"/>
        <w:left w:val="none" w:sz="0" w:space="0" w:color="auto"/>
        <w:bottom w:val="none" w:sz="0" w:space="0" w:color="auto"/>
        <w:right w:val="none" w:sz="0" w:space="0" w:color="auto"/>
      </w:divBdr>
    </w:div>
    <w:div w:id="1396660415">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5557072">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522552938">
      <w:bodyDiv w:val="1"/>
      <w:marLeft w:val="0"/>
      <w:marRight w:val="0"/>
      <w:marTop w:val="0"/>
      <w:marBottom w:val="0"/>
      <w:divBdr>
        <w:top w:val="none" w:sz="0" w:space="0" w:color="auto"/>
        <w:left w:val="none" w:sz="0" w:space="0" w:color="auto"/>
        <w:bottom w:val="none" w:sz="0" w:space="0" w:color="auto"/>
        <w:right w:val="none" w:sz="0" w:space="0" w:color="auto"/>
      </w:divBdr>
    </w:div>
    <w:div w:id="1669482645">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
    <w:div w:id="1741827221">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5973043">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03060130">
      <w:bodyDiv w:val="1"/>
      <w:marLeft w:val="0"/>
      <w:marRight w:val="0"/>
      <w:marTop w:val="0"/>
      <w:marBottom w:val="0"/>
      <w:divBdr>
        <w:top w:val="none" w:sz="0" w:space="0" w:color="auto"/>
        <w:left w:val="none" w:sz="0" w:space="0" w:color="auto"/>
        <w:bottom w:val="none" w:sz="0" w:space="0" w:color="auto"/>
        <w:right w:val="none" w:sz="0" w:space="0" w:color="auto"/>
      </w:divBdr>
    </w:div>
    <w:div w:id="1948274447">
      <w:bodyDiv w:val="1"/>
      <w:marLeft w:val="0"/>
      <w:marRight w:val="0"/>
      <w:marTop w:val="0"/>
      <w:marBottom w:val="0"/>
      <w:divBdr>
        <w:top w:val="none" w:sz="0" w:space="0" w:color="auto"/>
        <w:left w:val="none" w:sz="0" w:space="0" w:color="auto"/>
        <w:bottom w:val="none" w:sz="0" w:space="0" w:color="auto"/>
        <w:right w:val="none" w:sz="0" w:space="0" w:color="auto"/>
      </w:divBdr>
    </w:div>
    <w:div w:id="1952474380">
      <w:bodyDiv w:val="1"/>
      <w:marLeft w:val="0"/>
      <w:marRight w:val="0"/>
      <w:marTop w:val="0"/>
      <w:marBottom w:val="0"/>
      <w:divBdr>
        <w:top w:val="none" w:sz="0" w:space="0" w:color="auto"/>
        <w:left w:val="none" w:sz="0" w:space="0" w:color="auto"/>
        <w:bottom w:val="none" w:sz="0" w:space="0" w:color="auto"/>
        <w:right w:val="none" w:sz="0" w:space="0" w:color="auto"/>
      </w:divBdr>
    </w:div>
    <w:div w:id="1960532434">
      <w:bodyDiv w:val="1"/>
      <w:marLeft w:val="0"/>
      <w:marRight w:val="0"/>
      <w:marTop w:val="0"/>
      <w:marBottom w:val="0"/>
      <w:divBdr>
        <w:top w:val="none" w:sz="0" w:space="0" w:color="auto"/>
        <w:left w:val="none" w:sz="0" w:space="0" w:color="auto"/>
        <w:bottom w:val="none" w:sz="0" w:space="0" w:color="auto"/>
        <w:right w:val="none" w:sz="0" w:space="0" w:color="auto"/>
      </w:divBdr>
    </w:div>
    <w:div w:id="1966887058">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image" Target="../media/image3.jpeg"/></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26805043675</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14029553886</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832845036</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40001752525</c:v>
                </c:pt>
              </c:numCache>
            </c:numRef>
          </c:val>
        </c:ser>
        <c:dLbls>
          <c:showLegendKey val="0"/>
          <c:showVal val="0"/>
          <c:showCatName val="0"/>
          <c:showSerName val="0"/>
          <c:showPercent val="0"/>
          <c:showBubbleSize val="0"/>
        </c:dLbls>
        <c:gapWidth val="150"/>
        <c:shape val="pyramid"/>
        <c:axId val="-2043365744"/>
        <c:axId val="-2043370096"/>
        <c:axId val="-2043711472"/>
      </c:bar3DChart>
      <c:catAx>
        <c:axId val="-2043365744"/>
        <c:scaling>
          <c:orientation val="minMax"/>
        </c:scaling>
        <c:delete val="0"/>
        <c:axPos val="b"/>
        <c:numFmt formatCode="General" sourceLinked="0"/>
        <c:majorTickMark val="out"/>
        <c:minorTickMark val="none"/>
        <c:tickLblPos val="nextTo"/>
        <c:crossAx val="-2043370096"/>
        <c:crosses val="autoZero"/>
        <c:auto val="1"/>
        <c:lblAlgn val="ctr"/>
        <c:lblOffset val="100"/>
        <c:noMultiLvlLbl val="0"/>
      </c:catAx>
      <c:valAx>
        <c:axId val="-2043370096"/>
        <c:scaling>
          <c:orientation val="minMax"/>
        </c:scaling>
        <c:delete val="0"/>
        <c:axPos val="l"/>
        <c:majorGridlines/>
        <c:numFmt formatCode="_(* #,##0_);_(* \(#,##0\);_(* &quot;-&quot;??_);_(@_)" sourceLinked="1"/>
        <c:majorTickMark val="out"/>
        <c:minorTickMark val="none"/>
        <c:tickLblPos val="nextTo"/>
        <c:crossAx val="-2043365744"/>
        <c:crosses val="autoZero"/>
        <c:crossBetween val="between"/>
      </c:valAx>
      <c:serAx>
        <c:axId val="-2043711472"/>
        <c:scaling>
          <c:orientation val="minMax"/>
        </c:scaling>
        <c:delete val="0"/>
        <c:axPos val="b"/>
        <c:majorTickMark val="out"/>
        <c:minorTickMark val="none"/>
        <c:tickLblPos val="nextTo"/>
        <c:crossAx val="-2043370096"/>
        <c:crosses val="autoZero"/>
      </c:serAx>
    </c:plotArea>
    <c:legend>
      <c:legendPos val="r"/>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autoTitleDeleted val="1"/>
    <c:plotArea>
      <c:layout/>
      <c:barChart>
        <c:barDir val="col"/>
        <c:grouping val="clustered"/>
        <c:varyColors val="0"/>
        <c:ser>
          <c:idx val="0"/>
          <c:order val="0"/>
          <c:tx>
            <c:strRef>
              <c:f>Hoja1!$B$1</c:f>
              <c:strCache>
                <c:ptCount val="1"/>
                <c:pt idx="0">
                  <c:v>Serie 1</c:v>
                </c:pt>
              </c:strCache>
            </c:strRef>
          </c:tx>
          <c:invertIfNegative val="0"/>
          <c:cat>
            <c:strRef>
              <c:f>Hoja1!$A$2:$A$5</c:f>
              <c:strCache>
                <c:ptCount val="4"/>
                <c:pt idx="0">
                  <c:v>Ppto Inicial</c:v>
                </c:pt>
                <c:pt idx="1">
                  <c:v>Ppto Definitivo</c:v>
                </c:pt>
                <c:pt idx="2">
                  <c:v>Total Recaudado</c:v>
                </c:pt>
                <c:pt idx="3">
                  <c:v>Por Recaudar</c:v>
                </c:pt>
              </c:strCache>
            </c:strRef>
          </c:cat>
          <c:val>
            <c:numRef>
              <c:f>Hoja1!$B$2:$B$5</c:f>
              <c:numCache>
                <c:formatCode>General</c:formatCode>
                <c:ptCount val="4"/>
                <c:pt idx="0">
                  <c:v>26805</c:v>
                </c:pt>
                <c:pt idx="1">
                  <c:v>40001</c:v>
                </c:pt>
                <c:pt idx="2">
                  <c:v>38970</c:v>
                </c:pt>
                <c:pt idx="3">
                  <c:v>1774</c:v>
                </c:pt>
              </c:numCache>
            </c:numRef>
          </c:val>
        </c:ser>
        <c:dLbls>
          <c:showLegendKey val="0"/>
          <c:showVal val="0"/>
          <c:showCatName val="0"/>
          <c:showSerName val="0"/>
          <c:showPercent val="0"/>
          <c:showBubbleSize val="0"/>
        </c:dLbls>
        <c:gapWidth val="75"/>
        <c:axId val="-2043365200"/>
        <c:axId val="-2043374448"/>
      </c:barChart>
      <c:catAx>
        <c:axId val="-2043365200"/>
        <c:scaling>
          <c:orientation val="minMax"/>
        </c:scaling>
        <c:delete val="0"/>
        <c:axPos val="b"/>
        <c:numFmt formatCode="General" sourceLinked="0"/>
        <c:majorTickMark val="none"/>
        <c:minorTickMark val="none"/>
        <c:tickLblPos val="nextTo"/>
        <c:crossAx val="-2043374448"/>
        <c:crosses val="autoZero"/>
        <c:auto val="1"/>
        <c:lblAlgn val="ctr"/>
        <c:lblOffset val="100"/>
        <c:noMultiLvlLbl val="0"/>
      </c:catAx>
      <c:valAx>
        <c:axId val="-2043374448"/>
        <c:scaling>
          <c:orientation val="minMax"/>
        </c:scaling>
        <c:delete val="0"/>
        <c:axPos val="l"/>
        <c:majorGridlines/>
        <c:numFmt formatCode="General" sourceLinked="1"/>
        <c:majorTickMark val="none"/>
        <c:minorTickMark val="none"/>
        <c:tickLblPos val="nextTo"/>
        <c:crossAx val="-2043365200"/>
        <c:crosses val="autoZero"/>
        <c:crossBetween val="between"/>
      </c:valAx>
      <c:spPr>
        <a:blipFill>
          <a:blip xmlns:r="http://schemas.openxmlformats.org/officeDocument/2006/relationships" r:embed="rId1"/>
          <a:tile tx="0" ty="0" sx="100000" sy="100000" flip="none" algn="tl"/>
        </a:blipFill>
      </c:spPr>
    </c:plotArea>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pPr>
            <a:r>
              <a:rPr lang="en-US">
                <a:solidFill>
                  <a:srgbClr val="FF0000"/>
                </a:solidFill>
              </a:rPr>
              <a:t>PRESUPUESTO INICIAL</a:t>
            </a:r>
          </a:p>
        </c:rich>
      </c:tx>
      <c:layout/>
      <c:overlay val="0"/>
    </c:title>
    <c:autoTitleDeleted val="0"/>
    <c:plotArea>
      <c:layout>
        <c:manualLayout>
          <c:layoutTarget val="inner"/>
          <c:xMode val="edge"/>
          <c:yMode val="edge"/>
          <c:x val="0.19779873869932926"/>
          <c:y val="0.28818648965969262"/>
          <c:w val="0.35560640857392828"/>
          <c:h val="0.69308354840485908"/>
        </c:manualLayout>
      </c:layout>
      <c:pieChart>
        <c:varyColors val="1"/>
        <c:ser>
          <c:idx val="0"/>
          <c:order val="0"/>
          <c:tx>
            <c:strRef>
              <c:f>Hoja1!$B$1</c:f>
              <c:strCache>
                <c:ptCount val="1"/>
                <c:pt idx="0">
                  <c:v>PRESUPUESTO INICIAL</c:v>
                </c:pt>
              </c:strCache>
            </c:strRef>
          </c:tx>
          <c:dPt>
            <c:idx val="0"/>
            <c:bubble3D val="0"/>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dPt>
          <c:dLbls>
            <c:delete val="1"/>
          </c:dLbls>
          <c:cat>
            <c:strRef>
              <c:f>Hoja1!$A$2:$A$3</c:f>
              <c:strCache>
                <c:ptCount val="2"/>
                <c:pt idx="0">
                  <c:v>Funcionamiento  11.32%</c:v>
                </c:pt>
                <c:pt idx="1">
                  <c:v>Inversión    88.68%</c:v>
                </c:pt>
              </c:strCache>
            </c:strRef>
          </c:cat>
          <c:val>
            <c:numRef>
              <c:f>Hoja1!$B$2:$B$3</c:f>
              <c:numCache>
                <c:formatCode>General</c:formatCode>
                <c:ptCount val="2"/>
                <c:pt idx="0">
                  <c:v>3068</c:v>
                </c:pt>
                <c:pt idx="1">
                  <c:v>23955</c:v>
                </c:pt>
              </c:numCache>
            </c:numRef>
          </c:val>
        </c:ser>
        <c:dLbls>
          <c:showLegendKey val="0"/>
          <c:showVal val="0"/>
          <c:showCatName val="0"/>
          <c:showSerName val="0"/>
          <c:showPercent val="1"/>
          <c:showBubbleSize val="0"/>
          <c:showLeaderLines val="1"/>
        </c:dLbls>
        <c:firstSliceAng val="0"/>
      </c:pieChart>
    </c:plotArea>
    <c:legend>
      <c:legendPos val="r"/>
      <c:legendEntry>
        <c:idx val="0"/>
        <c:txPr>
          <a:bodyPr/>
          <a:lstStyle/>
          <a:p>
            <a:pPr>
              <a:defRPr b="1">
                <a:solidFill>
                  <a:sysClr val="windowText" lastClr="000000"/>
                </a:solidFill>
              </a:defRPr>
            </a:pPr>
            <a:endParaRPr lang="es-CO"/>
          </a:p>
        </c:txPr>
      </c:legendEntry>
      <c:legendEntry>
        <c:idx val="1"/>
        <c:txPr>
          <a:bodyPr/>
          <a:lstStyle/>
          <a:p>
            <a:pPr>
              <a:defRPr b="1">
                <a:solidFill>
                  <a:sysClr val="windowText" lastClr="000000"/>
                </a:solidFill>
              </a:defRPr>
            </a:pPr>
            <a:endParaRPr lang="es-CO"/>
          </a:p>
        </c:txPr>
      </c:legendEntry>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Adiciones</c:v>
                </c:pt>
              </c:strCache>
            </c:strRef>
          </c:tx>
          <c:invertIfNegative val="0"/>
          <c:cat>
            <c:strRef>
              <c:f>Hoja1!$A$2:$A$6</c:f>
              <c:strCache>
                <c:ptCount val="5"/>
                <c:pt idx="0">
                  <c:v>Educación</c:v>
                </c:pt>
                <c:pt idx="1">
                  <c:v>Salud</c:v>
                </c:pt>
                <c:pt idx="2">
                  <c:v>Agua Potable</c:v>
                </c:pt>
                <c:pt idx="3">
                  <c:v>Deporte</c:v>
                </c:pt>
                <c:pt idx="4">
                  <c:v>Cultura</c:v>
                </c:pt>
              </c:strCache>
            </c:strRef>
          </c:cat>
          <c:val>
            <c:numRef>
              <c:f>Hoja1!$B$2:$B$6</c:f>
              <c:numCache>
                <c:formatCode>General</c:formatCode>
                <c:ptCount val="5"/>
                <c:pt idx="0">
                  <c:v>1534</c:v>
                </c:pt>
                <c:pt idx="1">
                  <c:v>3501</c:v>
                </c:pt>
                <c:pt idx="2">
                  <c:v>755</c:v>
                </c:pt>
                <c:pt idx="3">
                  <c:v>5516</c:v>
                </c:pt>
                <c:pt idx="4">
                  <c:v>141</c:v>
                </c:pt>
              </c:numCache>
            </c:numRef>
          </c:val>
        </c:ser>
        <c:dLbls>
          <c:showLegendKey val="0"/>
          <c:showVal val="0"/>
          <c:showCatName val="0"/>
          <c:showSerName val="0"/>
          <c:showPercent val="0"/>
          <c:showBubbleSize val="0"/>
        </c:dLbls>
        <c:gapWidth val="150"/>
        <c:shape val="cylinder"/>
        <c:axId val="-2043373360"/>
        <c:axId val="-2043375536"/>
        <c:axId val="0"/>
      </c:bar3DChart>
      <c:catAx>
        <c:axId val="-2043373360"/>
        <c:scaling>
          <c:orientation val="minMax"/>
        </c:scaling>
        <c:delete val="0"/>
        <c:axPos val="b"/>
        <c:numFmt formatCode="General" sourceLinked="1"/>
        <c:majorTickMark val="none"/>
        <c:minorTickMark val="none"/>
        <c:tickLblPos val="nextTo"/>
        <c:crossAx val="-2043375536"/>
        <c:crosses val="autoZero"/>
        <c:auto val="1"/>
        <c:lblAlgn val="ctr"/>
        <c:lblOffset val="100"/>
        <c:noMultiLvlLbl val="0"/>
      </c:catAx>
      <c:valAx>
        <c:axId val="-2043375536"/>
        <c:scaling>
          <c:orientation val="minMax"/>
        </c:scaling>
        <c:delete val="0"/>
        <c:axPos val="l"/>
        <c:majorGridlines/>
        <c:numFmt formatCode="General" sourceLinked="1"/>
        <c:majorTickMark val="out"/>
        <c:minorTickMark val="none"/>
        <c:tickLblPos val="nextTo"/>
        <c:crossAx val="-2043373360"/>
        <c:crosses val="autoZero"/>
        <c:crossBetween val="between"/>
      </c:valAx>
    </c:plotArea>
    <c:legend>
      <c:legendPos val="r"/>
      <c:layout/>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8CE51-73E2-48F5-B1D9-0CF3D4258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1631</Words>
  <Characters>8976</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6</cp:revision>
  <cp:lastPrinted>2016-12-25T22:30:00Z</cp:lastPrinted>
  <dcterms:created xsi:type="dcterms:W3CDTF">2016-11-22T14:37:00Z</dcterms:created>
  <dcterms:modified xsi:type="dcterms:W3CDTF">2016-12-25T22:31:00Z</dcterms:modified>
</cp:coreProperties>
</file>